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28"/>
        </w:rPr>
      </w:pPr>
      <w:r>
        <w:rPr>
          <w:rFonts w:hint="eastAsia" w:ascii="仿宋_GB2312" w:hAnsi="仿宋_GB2312" w:eastAsia="仿宋_GB2312" w:cs="仿宋_GB2312"/>
          <w:sz w:val="28"/>
        </w:rPr>
        <w:t>附件2：</w:t>
      </w:r>
    </w:p>
    <w:p>
      <w:pPr>
        <w:jc w:val="center"/>
        <w:rPr>
          <w:rFonts w:ascii="华文中宋" w:hAnsi="宋体" w:eastAsia="华文中宋"/>
          <w:b/>
          <w:bCs/>
          <w:sz w:val="44"/>
        </w:rPr>
      </w:pPr>
      <w:r>
        <w:rPr>
          <w:rFonts w:hint="eastAsia" w:ascii="华文中宋" w:hAnsi="宋体" w:eastAsia="华文中宋"/>
          <w:b/>
          <w:bCs/>
          <w:sz w:val="44"/>
        </w:rPr>
        <w:t>申 请 列 为 授 予 学 士 学 位</w:t>
      </w:r>
    </w:p>
    <w:p>
      <w:pPr>
        <w:jc w:val="center"/>
        <w:rPr>
          <w:rFonts w:ascii="宋体" w:hAnsi="宋体"/>
          <w:sz w:val="28"/>
        </w:rPr>
      </w:pPr>
      <w:r>
        <w:rPr>
          <w:rFonts w:hint="eastAsia" w:ascii="华文中宋" w:hAnsi="宋体" w:eastAsia="华文中宋"/>
          <w:b/>
          <w:bCs/>
          <w:sz w:val="44"/>
        </w:rPr>
        <w:t>的专业简况表（表式）</w:t>
      </w:r>
    </w:p>
    <w:p>
      <w:pPr>
        <w:jc w:val="center"/>
        <w:rPr>
          <w:rFonts w:ascii="宋体" w:hAnsi="宋体"/>
          <w:sz w:val="28"/>
        </w:rPr>
      </w:pPr>
    </w:p>
    <w:p>
      <w:pPr>
        <w:jc w:val="center"/>
        <w:rPr>
          <w:rFonts w:ascii="宋体" w:hAnsi="宋体"/>
          <w:sz w:val="28"/>
        </w:rPr>
      </w:pPr>
    </w:p>
    <w:p>
      <w:pPr>
        <w:jc w:val="center"/>
        <w:rPr>
          <w:rFonts w:ascii="宋体" w:hAnsi="宋体"/>
          <w:sz w:val="28"/>
        </w:rPr>
      </w:pPr>
    </w:p>
    <w:tbl>
      <w:tblPr>
        <w:tblStyle w:val="6"/>
        <w:tblW w:w="7411" w:type="dxa"/>
        <w:tblInd w:w="897" w:type="dxa"/>
        <w:tblLayout w:type="fixed"/>
        <w:tblCellMar>
          <w:top w:w="0" w:type="dxa"/>
          <w:left w:w="0" w:type="dxa"/>
          <w:bottom w:w="0" w:type="dxa"/>
          <w:right w:w="0" w:type="dxa"/>
        </w:tblCellMar>
      </w:tblPr>
      <w:tblGrid>
        <w:gridCol w:w="1883"/>
        <w:gridCol w:w="4237"/>
        <w:gridCol w:w="1291"/>
      </w:tblGrid>
      <w:tr>
        <w:tblPrEx>
          <w:tblCellMar>
            <w:top w:w="0" w:type="dxa"/>
            <w:left w:w="0" w:type="dxa"/>
            <w:bottom w:w="0" w:type="dxa"/>
            <w:right w:w="0" w:type="dxa"/>
          </w:tblCellMar>
        </w:tblPrEx>
        <w:trPr>
          <w:trHeight w:val="800" w:hRule="atLeast"/>
        </w:trPr>
        <w:tc>
          <w:tcPr>
            <w:tcW w:w="1883" w:type="dxa"/>
            <w:vAlign w:val="bottom"/>
          </w:tcPr>
          <w:p>
            <w:pPr>
              <w:snapToGrid w:val="0"/>
              <w:jc w:val="distribute"/>
              <w:rPr>
                <w:rFonts w:ascii="宋体" w:hAnsi="宋体"/>
                <w:sz w:val="28"/>
              </w:rPr>
            </w:pPr>
            <w:r>
              <w:rPr>
                <w:rFonts w:hint="eastAsia" w:ascii="宋体" w:hAnsi="宋体"/>
                <w:sz w:val="28"/>
              </w:rPr>
              <w:t>申请专业名称</w:t>
            </w:r>
          </w:p>
        </w:tc>
        <w:tc>
          <w:tcPr>
            <w:tcW w:w="4237" w:type="dxa"/>
            <w:tcBorders>
              <w:bottom w:val="single" w:color="auto" w:sz="4" w:space="0"/>
            </w:tcBorders>
            <w:vAlign w:val="bottom"/>
          </w:tcPr>
          <w:p>
            <w:pPr>
              <w:snapToGrid w:val="0"/>
              <w:jc w:val="center"/>
              <w:rPr>
                <w:rFonts w:ascii="宋体" w:hAnsi="宋体"/>
                <w:sz w:val="28"/>
              </w:rPr>
            </w:pPr>
            <w:r>
              <w:rPr>
                <w:rFonts w:hint="eastAsia" w:ascii="宋体" w:hAnsi="宋体"/>
                <w:sz w:val="28"/>
              </w:rPr>
              <w:t>软件工程</w:t>
            </w:r>
          </w:p>
        </w:tc>
        <w:tc>
          <w:tcPr>
            <w:tcW w:w="1291" w:type="dxa"/>
            <w:vAlign w:val="bottom"/>
          </w:tcPr>
          <w:p>
            <w:pPr>
              <w:snapToGrid w:val="0"/>
              <w:rPr>
                <w:rFonts w:ascii="宋体" w:hAnsi="宋体"/>
                <w:sz w:val="28"/>
              </w:rPr>
            </w:pPr>
            <w:r>
              <w:rPr>
                <w:rFonts w:hint="eastAsia" w:ascii="宋体" w:hAnsi="宋体"/>
                <w:sz w:val="28"/>
              </w:rPr>
              <w:t>（公章）</w:t>
            </w:r>
          </w:p>
        </w:tc>
      </w:tr>
      <w:tr>
        <w:tblPrEx>
          <w:tblCellMar>
            <w:top w:w="0" w:type="dxa"/>
            <w:left w:w="0" w:type="dxa"/>
            <w:bottom w:w="0" w:type="dxa"/>
            <w:right w:w="0" w:type="dxa"/>
          </w:tblCellMar>
        </w:tblPrEx>
        <w:trPr>
          <w:trHeight w:val="800" w:hRule="atLeast"/>
        </w:trPr>
        <w:tc>
          <w:tcPr>
            <w:tcW w:w="1883" w:type="dxa"/>
            <w:vAlign w:val="bottom"/>
          </w:tcPr>
          <w:p>
            <w:pPr>
              <w:snapToGrid w:val="0"/>
              <w:jc w:val="distribute"/>
              <w:rPr>
                <w:rFonts w:ascii="宋体" w:hAnsi="宋体"/>
                <w:sz w:val="28"/>
              </w:rPr>
            </w:pPr>
            <w:r>
              <w:rPr>
                <w:rFonts w:hint="eastAsia" w:ascii="宋体" w:hAnsi="宋体"/>
                <w:sz w:val="28"/>
              </w:rPr>
              <w:t>专业建立时间</w:t>
            </w:r>
          </w:p>
        </w:tc>
        <w:tc>
          <w:tcPr>
            <w:tcW w:w="4237" w:type="dxa"/>
            <w:tcBorders>
              <w:top w:val="single" w:color="auto" w:sz="4" w:space="0"/>
              <w:bottom w:val="single" w:color="auto" w:sz="4" w:space="0"/>
            </w:tcBorders>
            <w:vAlign w:val="bottom"/>
          </w:tcPr>
          <w:p>
            <w:pPr>
              <w:snapToGrid w:val="0"/>
              <w:jc w:val="center"/>
              <w:rPr>
                <w:rFonts w:ascii="宋体" w:hAnsi="宋体"/>
                <w:sz w:val="28"/>
              </w:rPr>
            </w:pPr>
            <w:r>
              <w:rPr>
                <w:rFonts w:hint="eastAsia" w:ascii="宋体" w:hAnsi="宋体"/>
                <w:sz w:val="28"/>
              </w:rPr>
              <w:t>2017年</w:t>
            </w:r>
          </w:p>
        </w:tc>
        <w:tc>
          <w:tcPr>
            <w:tcW w:w="1291" w:type="dxa"/>
            <w:vAlign w:val="bottom"/>
          </w:tcPr>
          <w:p>
            <w:pPr>
              <w:snapToGrid w:val="0"/>
              <w:rPr>
                <w:rFonts w:ascii="宋体" w:hAnsi="宋体"/>
                <w:sz w:val="28"/>
              </w:rPr>
            </w:pPr>
          </w:p>
        </w:tc>
      </w:tr>
      <w:tr>
        <w:tblPrEx>
          <w:tblCellMar>
            <w:top w:w="0" w:type="dxa"/>
            <w:left w:w="0" w:type="dxa"/>
            <w:bottom w:w="0" w:type="dxa"/>
            <w:right w:w="0" w:type="dxa"/>
          </w:tblCellMar>
        </w:tblPrEx>
        <w:trPr>
          <w:trHeight w:val="800" w:hRule="atLeast"/>
        </w:trPr>
        <w:tc>
          <w:tcPr>
            <w:tcW w:w="1883" w:type="dxa"/>
            <w:vAlign w:val="bottom"/>
          </w:tcPr>
          <w:p>
            <w:pPr>
              <w:snapToGrid w:val="0"/>
              <w:jc w:val="distribute"/>
              <w:rPr>
                <w:rFonts w:ascii="宋体" w:hAnsi="宋体"/>
                <w:sz w:val="28"/>
              </w:rPr>
            </w:pPr>
            <w:r>
              <w:rPr>
                <w:rFonts w:hint="eastAsia" w:ascii="宋体" w:hAnsi="宋体"/>
                <w:sz w:val="28"/>
              </w:rPr>
              <w:t>学制</w:t>
            </w:r>
          </w:p>
        </w:tc>
        <w:tc>
          <w:tcPr>
            <w:tcW w:w="4237" w:type="dxa"/>
            <w:tcBorders>
              <w:top w:val="single" w:color="auto" w:sz="4" w:space="0"/>
              <w:bottom w:val="single" w:color="auto" w:sz="4" w:space="0"/>
            </w:tcBorders>
            <w:vAlign w:val="bottom"/>
          </w:tcPr>
          <w:p>
            <w:pPr>
              <w:snapToGrid w:val="0"/>
              <w:jc w:val="center"/>
              <w:rPr>
                <w:rFonts w:ascii="宋体" w:hAnsi="宋体"/>
                <w:sz w:val="28"/>
              </w:rPr>
            </w:pPr>
            <w:r>
              <w:rPr>
                <w:rFonts w:hint="eastAsia" w:ascii="宋体" w:hAnsi="宋体"/>
                <w:sz w:val="28"/>
              </w:rPr>
              <w:t>四</w:t>
            </w:r>
          </w:p>
        </w:tc>
        <w:tc>
          <w:tcPr>
            <w:tcW w:w="1291" w:type="dxa"/>
            <w:vAlign w:val="bottom"/>
          </w:tcPr>
          <w:p>
            <w:pPr>
              <w:snapToGrid w:val="0"/>
              <w:rPr>
                <w:rFonts w:ascii="宋体" w:hAnsi="宋体"/>
                <w:sz w:val="28"/>
              </w:rPr>
            </w:pPr>
            <w:r>
              <w:rPr>
                <w:rFonts w:hint="eastAsia" w:ascii="宋体" w:hAnsi="宋体"/>
                <w:sz w:val="28"/>
              </w:rPr>
              <w:t>年</w:t>
            </w:r>
          </w:p>
        </w:tc>
      </w:tr>
      <w:tr>
        <w:tblPrEx>
          <w:tblCellMar>
            <w:top w:w="0" w:type="dxa"/>
            <w:left w:w="0" w:type="dxa"/>
            <w:bottom w:w="0" w:type="dxa"/>
            <w:right w:w="0" w:type="dxa"/>
          </w:tblCellMar>
        </w:tblPrEx>
        <w:trPr>
          <w:trHeight w:val="986" w:hRule="atLeast"/>
        </w:trPr>
        <w:tc>
          <w:tcPr>
            <w:tcW w:w="1883" w:type="dxa"/>
            <w:vAlign w:val="bottom"/>
          </w:tcPr>
          <w:p>
            <w:pPr>
              <w:snapToGrid w:val="0"/>
              <w:jc w:val="distribute"/>
              <w:rPr>
                <w:rFonts w:ascii="宋体" w:hAnsi="宋体"/>
                <w:sz w:val="28"/>
              </w:rPr>
            </w:pPr>
            <w:r>
              <w:rPr>
                <w:rFonts w:hint="eastAsia" w:ascii="宋体" w:hAnsi="宋体"/>
                <w:sz w:val="28"/>
              </w:rPr>
              <w:t>申请授予学位</w:t>
            </w:r>
          </w:p>
          <w:p>
            <w:pPr>
              <w:snapToGrid w:val="0"/>
              <w:jc w:val="distribute"/>
              <w:rPr>
                <w:rFonts w:ascii="宋体" w:hAnsi="宋体"/>
                <w:sz w:val="28"/>
              </w:rPr>
            </w:pPr>
            <w:r>
              <w:rPr>
                <w:rFonts w:hint="eastAsia" w:ascii="宋体" w:hAnsi="宋体"/>
                <w:sz w:val="28"/>
              </w:rPr>
              <w:t>学科门类</w:t>
            </w:r>
          </w:p>
        </w:tc>
        <w:tc>
          <w:tcPr>
            <w:tcW w:w="4237" w:type="dxa"/>
            <w:tcBorders>
              <w:top w:val="single" w:color="auto" w:sz="4" w:space="0"/>
              <w:bottom w:val="single" w:color="auto" w:sz="4" w:space="0"/>
            </w:tcBorders>
            <w:vAlign w:val="bottom"/>
          </w:tcPr>
          <w:p>
            <w:pPr>
              <w:snapToGrid w:val="0"/>
              <w:jc w:val="center"/>
              <w:rPr>
                <w:rFonts w:ascii="宋体" w:hAnsi="宋体"/>
                <w:sz w:val="28"/>
              </w:rPr>
            </w:pPr>
            <w:r>
              <w:rPr>
                <w:rFonts w:hint="eastAsia" w:ascii="宋体" w:hAnsi="宋体"/>
                <w:sz w:val="28"/>
              </w:rPr>
              <w:t>工学</w:t>
            </w:r>
          </w:p>
        </w:tc>
        <w:tc>
          <w:tcPr>
            <w:tcW w:w="1291" w:type="dxa"/>
            <w:vAlign w:val="bottom"/>
          </w:tcPr>
          <w:p>
            <w:pPr>
              <w:snapToGrid w:val="0"/>
              <w:rPr>
                <w:rFonts w:ascii="宋体" w:hAnsi="宋体"/>
                <w:sz w:val="28"/>
              </w:rPr>
            </w:pPr>
          </w:p>
        </w:tc>
      </w:tr>
    </w:tbl>
    <w:p>
      <w:pPr>
        <w:jc w:val="center"/>
        <w:rPr>
          <w:rFonts w:ascii="宋体" w:hAnsi="宋体"/>
          <w:sz w:val="28"/>
        </w:rPr>
      </w:pPr>
    </w:p>
    <w:p>
      <w:pPr>
        <w:jc w:val="center"/>
        <w:rPr>
          <w:rFonts w:ascii="宋体" w:hAnsi="宋体"/>
          <w:sz w:val="28"/>
        </w:rPr>
      </w:pPr>
    </w:p>
    <w:p>
      <w:pPr>
        <w:jc w:val="center"/>
        <w:rPr>
          <w:rFonts w:ascii="宋体" w:hAnsi="宋体"/>
          <w:sz w:val="28"/>
        </w:rPr>
      </w:pPr>
    </w:p>
    <w:p>
      <w:pPr>
        <w:jc w:val="center"/>
        <w:rPr>
          <w:rFonts w:ascii="宋体" w:hAnsi="宋体"/>
          <w:sz w:val="28"/>
        </w:rPr>
      </w:pPr>
    </w:p>
    <w:p>
      <w:pPr>
        <w:jc w:val="center"/>
        <w:rPr>
          <w:rFonts w:ascii="宋体" w:hAnsi="宋体"/>
          <w:sz w:val="28"/>
        </w:rPr>
      </w:pPr>
    </w:p>
    <w:p>
      <w:pPr>
        <w:jc w:val="center"/>
        <w:rPr>
          <w:rFonts w:ascii="仿宋_GB2312" w:hAnsi="宋体" w:eastAsia="仿宋_GB2312"/>
          <w:sz w:val="30"/>
        </w:rPr>
      </w:pPr>
      <w:r>
        <w:rPr>
          <w:rFonts w:hint="eastAsia" w:ascii="仿宋_GB2312" w:hAnsi="宋体" w:eastAsia="仿宋_GB2312"/>
          <w:sz w:val="30"/>
        </w:rPr>
        <w:t>安徽省学位委员会办公室制</w:t>
      </w:r>
    </w:p>
    <w:p>
      <w:pPr>
        <w:jc w:val="center"/>
        <w:rPr>
          <w:rFonts w:ascii="宋体" w:hAnsi="宋体"/>
        </w:rPr>
      </w:pPr>
      <w:r>
        <w:rPr>
          <w:rFonts w:hint="eastAsia" w:ascii="仿宋_GB2312" w:hAnsi="宋体" w:eastAsia="仿宋_GB2312"/>
          <w:sz w:val="30"/>
        </w:rPr>
        <w:t>2021年　1　月　15　日填</w:t>
      </w: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80"/>
        <w:gridCol w:w="717"/>
        <w:gridCol w:w="360"/>
        <w:gridCol w:w="505"/>
        <w:gridCol w:w="1043"/>
        <w:gridCol w:w="1043"/>
        <w:gridCol w:w="1043"/>
        <w:gridCol w:w="1043"/>
        <w:gridCol w:w="992"/>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540" w:type="dxa"/>
            <w:vMerge w:val="restart"/>
            <w:vAlign w:val="center"/>
          </w:tcPr>
          <w:p>
            <w:pPr>
              <w:jc w:val="center"/>
              <w:rPr>
                <w:rFonts w:ascii="宋体" w:hAnsi="宋体"/>
              </w:rPr>
            </w:pPr>
            <w:r>
              <w:rPr>
                <w:rFonts w:hint="eastAsia" w:ascii="宋体" w:hAnsi="宋体"/>
              </w:rPr>
              <w:t>教师情况</w:t>
            </w:r>
          </w:p>
        </w:tc>
        <w:tc>
          <w:tcPr>
            <w:tcW w:w="1662" w:type="dxa"/>
            <w:gridSpan w:val="4"/>
            <w:tcBorders>
              <w:tl2br w:val="single" w:color="auto" w:sz="4" w:space="0"/>
            </w:tcBorders>
            <w:vAlign w:val="center"/>
          </w:tcPr>
          <w:p>
            <w:pPr>
              <w:jc w:val="center"/>
              <w:rPr>
                <w:rFonts w:ascii="宋体" w:hAnsi="宋体"/>
              </w:rPr>
            </w:pPr>
            <w:r>
              <w:rPr>
                <w:rFonts w:hint="eastAsia" w:ascii="宋体" w:hAnsi="宋体"/>
              </w:rPr>
              <w:t xml:space="preserve">   职务</w:t>
            </w:r>
          </w:p>
          <w:p>
            <w:pPr>
              <w:rPr>
                <w:rFonts w:ascii="宋体" w:hAnsi="宋体"/>
              </w:rPr>
            </w:pPr>
            <w:r>
              <w:rPr>
                <w:rFonts w:hint="eastAsia" w:ascii="宋体" w:hAnsi="宋体"/>
              </w:rPr>
              <w:t>类别</w:t>
            </w:r>
          </w:p>
        </w:tc>
        <w:tc>
          <w:tcPr>
            <w:tcW w:w="1043" w:type="dxa"/>
            <w:vAlign w:val="center"/>
          </w:tcPr>
          <w:p>
            <w:pPr>
              <w:jc w:val="center"/>
              <w:rPr>
                <w:rFonts w:ascii="宋体" w:hAnsi="宋体"/>
              </w:rPr>
            </w:pPr>
            <w:r>
              <w:rPr>
                <w:rFonts w:hint="eastAsia" w:ascii="宋体" w:hAnsi="宋体"/>
              </w:rPr>
              <w:t>教授</w:t>
            </w:r>
          </w:p>
        </w:tc>
        <w:tc>
          <w:tcPr>
            <w:tcW w:w="1043" w:type="dxa"/>
            <w:vAlign w:val="center"/>
          </w:tcPr>
          <w:p>
            <w:pPr>
              <w:jc w:val="center"/>
              <w:rPr>
                <w:rFonts w:ascii="宋体" w:hAnsi="宋体"/>
              </w:rPr>
            </w:pPr>
            <w:r>
              <w:rPr>
                <w:rFonts w:hint="eastAsia" w:ascii="宋体" w:hAnsi="宋体"/>
              </w:rPr>
              <w:t>副教授</w:t>
            </w:r>
          </w:p>
        </w:tc>
        <w:tc>
          <w:tcPr>
            <w:tcW w:w="1043" w:type="dxa"/>
            <w:vAlign w:val="center"/>
          </w:tcPr>
          <w:p>
            <w:pPr>
              <w:jc w:val="center"/>
              <w:rPr>
                <w:rFonts w:ascii="宋体" w:hAnsi="宋体"/>
              </w:rPr>
            </w:pPr>
            <w:r>
              <w:rPr>
                <w:rFonts w:hint="eastAsia" w:ascii="宋体" w:hAnsi="宋体"/>
              </w:rPr>
              <w:t>讲师</w:t>
            </w:r>
          </w:p>
        </w:tc>
        <w:tc>
          <w:tcPr>
            <w:tcW w:w="1043" w:type="dxa"/>
            <w:vAlign w:val="center"/>
          </w:tcPr>
          <w:p>
            <w:pPr>
              <w:jc w:val="center"/>
              <w:rPr>
                <w:rFonts w:ascii="宋体" w:hAnsi="宋体"/>
              </w:rPr>
            </w:pPr>
            <w:r>
              <w:rPr>
                <w:rFonts w:hint="eastAsia" w:ascii="宋体" w:hAnsi="宋体"/>
              </w:rPr>
              <w:t>教员</w:t>
            </w:r>
          </w:p>
        </w:tc>
        <w:tc>
          <w:tcPr>
            <w:tcW w:w="992" w:type="dxa"/>
            <w:vAlign w:val="center"/>
          </w:tcPr>
          <w:p>
            <w:pPr>
              <w:jc w:val="center"/>
              <w:rPr>
                <w:rFonts w:ascii="宋体" w:hAnsi="宋体"/>
              </w:rPr>
            </w:pPr>
            <w:r>
              <w:rPr>
                <w:rFonts w:hint="eastAsia" w:ascii="宋体" w:hAnsi="宋体"/>
              </w:rPr>
              <w:t>助教</w:t>
            </w:r>
          </w:p>
        </w:tc>
        <w:tc>
          <w:tcPr>
            <w:tcW w:w="1094" w:type="dxa"/>
            <w:vAlign w:val="center"/>
          </w:tcPr>
          <w:p>
            <w:pPr>
              <w:jc w:val="center"/>
              <w:rPr>
                <w:rFonts w:ascii="宋体" w:hAnsi="宋体"/>
              </w:rPr>
            </w:pPr>
            <w:r>
              <w:rPr>
                <w:rFonts w:hint="eastAsia" w:ascii="宋体" w:hAnsi="宋体"/>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40" w:type="dxa"/>
            <w:vMerge w:val="continue"/>
            <w:vAlign w:val="center"/>
          </w:tcPr>
          <w:p>
            <w:pPr>
              <w:jc w:val="center"/>
              <w:rPr>
                <w:rFonts w:ascii="宋体" w:hAnsi="宋体"/>
              </w:rPr>
            </w:pPr>
          </w:p>
        </w:tc>
        <w:tc>
          <w:tcPr>
            <w:tcW w:w="1662" w:type="dxa"/>
            <w:gridSpan w:val="4"/>
            <w:vAlign w:val="center"/>
          </w:tcPr>
          <w:p>
            <w:pPr>
              <w:jc w:val="center"/>
              <w:rPr>
                <w:rFonts w:ascii="宋体" w:hAnsi="宋体"/>
              </w:rPr>
            </w:pPr>
            <w:r>
              <w:rPr>
                <w:rFonts w:hint="eastAsia" w:ascii="宋体" w:hAnsi="宋体"/>
              </w:rPr>
              <w:t>本校专任教师</w:t>
            </w:r>
          </w:p>
        </w:tc>
        <w:tc>
          <w:tcPr>
            <w:tcW w:w="1043" w:type="dxa"/>
            <w:vAlign w:val="center"/>
          </w:tcPr>
          <w:p>
            <w:pPr>
              <w:jc w:val="center"/>
              <w:rPr>
                <w:rFonts w:ascii="宋体" w:hAnsi="宋体"/>
              </w:rPr>
            </w:pPr>
            <w:r>
              <w:rPr>
                <w:rFonts w:hint="eastAsia" w:ascii="宋体" w:hAnsi="宋体"/>
              </w:rPr>
              <w:t>2</w:t>
            </w:r>
          </w:p>
        </w:tc>
        <w:tc>
          <w:tcPr>
            <w:tcW w:w="1043" w:type="dxa"/>
            <w:vAlign w:val="center"/>
          </w:tcPr>
          <w:p>
            <w:pPr>
              <w:jc w:val="center"/>
              <w:rPr>
                <w:rFonts w:ascii="宋体" w:hAnsi="宋体"/>
              </w:rPr>
            </w:pPr>
            <w:r>
              <w:rPr>
                <w:rFonts w:hint="eastAsia" w:ascii="宋体" w:hAnsi="宋体"/>
              </w:rPr>
              <w:t>4</w:t>
            </w:r>
          </w:p>
        </w:tc>
        <w:tc>
          <w:tcPr>
            <w:tcW w:w="1043" w:type="dxa"/>
            <w:vAlign w:val="center"/>
          </w:tcPr>
          <w:p>
            <w:pPr>
              <w:jc w:val="center"/>
              <w:rPr>
                <w:rFonts w:ascii="宋体" w:hAnsi="宋体"/>
              </w:rPr>
            </w:pPr>
            <w:r>
              <w:rPr>
                <w:rFonts w:hint="eastAsia" w:ascii="宋体" w:hAnsi="宋体"/>
              </w:rPr>
              <w:t>8</w:t>
            </w:r>
          </w:p>
        </w:tc>
        <w:tc>
          <w:tcPr>
            <w:tcW w:w="1043" w:type="dxa"/>
            <w:vAlign w:val="center"/>
          </w:tcPr>
          <w:p>
            <w:pPr>
              <w:jc w:val="center"/>
              <w:rPr>
                <w:rFonts w:hint="eastAsia" w:ascii="宋体" w:hAnsi="宋体" w:eastAsia="宋体"/>
                <w:lang w:val="en-US" w:eastAsia="zh-CN"/>
              </w:rPr>
            </w:pPr>
            <w:r>
              <w:rPr>
                <w:rFonts w:hint="eastAsia" w:ascii="宋体" w:hAnsi="宋体"/>
                <w:lang w:val="en-US" w:eastAsia="zh-CN"/>
              </w:rPr>
              <w:t>0</w:t>
            </w:r>
          </w:p>
        </w:tc>
        <w:tc>
          <w:tcPr>
            <w:tcW w:w="992" w:type="dxa"/>
            <w:vAlign w:val="center"/>
          </w:tcPr>
          <w:p>
            <w:pPr>
              <w:jc w:val="center"/>
              <w:rPr>
                <w:rFonts w:ascii="宋体" w:hAnsi="宋体"/>
              </w:rPr>
            </w:pPr>
            <w:r>
              <w:rPr>
                <w:rFonts w:hint="eastAsia" w:ascii="宋体" w:hAnsi="宋体"/>
              </w:rPr>
              <w:t>4</w:t>
            </w:r>
          </w:p>
        </w:tc>
        <w:tc>
          <w:tcPr>
            <w:tcW w:w="1094" w:type="dxa"/>
            <w:vAlign w:val="center"/>
          </w:tcPr>
          <w:p>
            <w:pPr>
              <w:jc w:val="center"/>
              <w:rPr>
                <w:rFonts w:ascii="宋体" w:hAnsi="宋体"/>
              </w:rPr>
            </w:pPr>
            <w:r>
              <w:rPr>
                <w:rFonts w:hint="eastAsia" w:ascii="宋体" w:hAnsi="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40" w:type="dxa"/>
            <w:vMerge w:val="continue"/>
            <w:vAlign w:val="center"/>
          </w:tcPr>
          <w:p>
            <w:pPr>
              <w:jc w:val="center"/>
              <w:rPr>
                <w:rFonts w:ascii="宋体" w:hAnsi="宋体"/>
              </w:rPr>
            </w:pPr>
          </w:p>
        </w:tc>
        <w:tc>
          <w:tcPr>
            <w:tcW w:w="1662" w:type="dxa"/>
            <w:gridSpan w:val="4"/>
            <w:vAlign w:val="center"/>
          </w:tcPr>
          <w:p>
            <w:pPr>
              <w:jc w:val="center"/>
              <w:rPr>
                <w:rFonts w:ascii="宋体" w:hAnsi="宋体"/>
              </w:rPr>
            </w:pPr>
            <w:r>
              <w:rPr>
                <w:rFonts w:hint="eastAsia" w:ascii="宋体" w:hAnsi="宋体"/>
              </w:rPr>
              <w:t>外校兼任教师</w:t>
            </w:r>
          </w:p>
        </w:tc>
        <w:tc>
          <w:tcPr>
            <w:tcW w:w="1043" w:type="dxa"/>
            <w:vAlign w:val="center"/>
          </w:tcPr>
          <w:p>
            <w:pPr>
              <w:jc w:val="center"/>
              <w:rPr>
                <w:rFonts w:ascii="宋体" w:hAnsi="宋体"/>
              </w:rPr>
            </w:pPr>
            <w:r>
              <w:rPr>
                <w:rFonts w:hint="eastAsia" w:ascii="宋体" w:hAnsi="宋体"/>
              </w:rPr>
              <w:t>0</w:t>
            </w:r>
          </w:p>
        </w:tc>
        <w:tc>
          <w:tcPr>
            <w:tcW w:w="1043" w:type="dxa"/>
            <w:vAlign w:val="center"/>
          </w:tcPr>
          <w:p>
            <w:pPr>
              <w:jc w:val="center"/>
              <w:rPr>
                <w:rFonts w:ascii="宋体" w:hAnsi="宋体"/>
              </w:rPr>
            </w:pPr>
            <w:r>
              <w:rPr>
                <w:rFonts w:hint="eastAsia" w:ascii="宋体" w:hAnsi="宋体"/>
              </w:rPr>
              <w:t>2</w:t>
            </w:r>
          </w:p>
        </w:tc>
        <w:tc>
          <w:tcPr>
            <w:tcW w:w="1043" w:type="dxa"/>
            <w:vAlign w:val="center"/>
          </w:tcPr>
          <w:p>
            <w:pPr>
              <w:jc w:val="center"/>
              <w:rPr>
                <w:rFonts w:ascii="宋体" w:hAnsi="宋体"/>
              </w:rPr>
            </w:pPr>
            <w:r>
              <w:rPr>
                <w:rFonts w:hint="eastAsia" w:ascii="宋体" w:hAnsi="宋体"/>
              </w:rPr>
              <w:t>2</w:t>
            </w:r>
          </w:p>
        </w:tc>
        <w:tc>
          <w:tcPr>
            <w:tcW w:w="1043" w:type="dxa"/>
            <w:vAlign w:val="center"/>
          </w:tcPr>
          <w:p>
            <w:pPr>
              <w:jc w:val="center"/>
              <w:rPr>
                <w:rFonts w:ascii="宋体" w:hAnsi="宋体"/>
              </w:rPr>
            </w:pPr>
            <w:r>
              <w:rPr>
                <w:rFonts w:hint="eastAsia" w:ascii="宋体" w:hAnsi="宋体"/>
              </w:rPr>
              <w:t>0</w:t>
            </w:r>
          </w:p>
        </w:tc>
        <w:tc>
          <w:tcPr>
            <w:tcW w:w="992" w:type="dxa"/>
            <w:vAlign w:val="center"/>
          </w:tcPr>
          <w:p>
            <w:pPr>
              <w:jc w:val="center"/>
              <w:rPr>
                <w:rFonts w:ascii="宋体" w:hAnsi="宋体"/>
              </w:rPr>
            </w:pPr>
            <w:r>
              <w:rPr>
                <w:rFonts w:hint="eastAsia" w:ascii="宋体" w:hAnsi="宋体"/>
              </w:rPr>
              <w:t>0</w:t>
            </w:r>
          </w:p>
        </w:tc>
        <w:tc>
          <w:tcPr>
            <w:tcW w:w="1094" w:type="dxa"/>
            <w:vAlign w:val="center"/>
          </w:tcPr>
          <w:p>
            <w:pPr>
              <w:jc w:val="center"/>
              <w:rPr>
                <w:rFonts w:ascii="宋体" w:hAnsi="宋体"/>
              </w:rPr>
            </w:pPr>
            <w:r>
              <w:rPr>
                <w:rFonts w:hint="eastAsia" w:ascii="宋体" w:hAnsi="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7" w:type="dxa"/>
            <w:gridSpan w:val="3"/>
            <w:tcBorders>
              <w:bottom w:val="single" w:color="auto" w:sz="4" w:space="0"/>
            </w:tcBorders>
            <w:vAlign w:val="center"/>
          </w:tcPr>
          <w:p>
            <w:pPr>
              <w:jc w:val="center"/>
              <w:rPr>
                <w:rFonts w:ascii="宋体" w:hAnsi="宋体"/>
              </w:rPr>
            </w:pPr>
            <w:r>
              <w:rPr>
                <w:rFonts w:hint="eastAsia" w:ascii="宋体" w:hAnsi="宋体"/>
              </w:rPr>
              <w:t>本专业在校本科学生数</w:t>
            </w:r>
          </w:p>
        </w:tc>
        <w:tc>
          <w:tcPr>
            <w:tcW w:w="865" w:type="dxa"/>
            <w:gridSpan w:val="2"/>
            <w:tcBorders>
              <w:bottom w:val="sing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共计300人</w:t>
            </w:r>
          </w:p>
        </w:tc>
        <w:tc>
          <w:tcPr>
            <w:tcW w:w="1043" w:type="dxa"/>
            <w:tcBorders>
              <w:bottom w:val="sing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2017级</w:t>
            </w:r>
          </w:p>
          <w:p>
            <w:pPr>
              <w:jc w:val="center"/>
              <w:rPr>
                <w:rFonts w:hint="eastAsia" w:ascii="宋体" w:hAnsi="宋体" w:eastAsia="宋体" w:cs="宋体"/>
                <w:sz w:val="21"/>
                <w:szCs w:val="21"/>
              </w:rPr>
            </w:pPr>
            <w:r>
              <w:rPr>
                <w:rFonts w:hint="eastAsia" w:ascii="宋体" w:hAnsi="宋体" w:eastAsia="宋体" w:cs="宋体"/>
                <w:sz w:val="21"/>
                <w:szCs w:val="21"/>
              </w:rPr>
              <w:t>58人</w:t>
            </w:r>
          </w:p>
        </w:tc>
        <w:tc>
          <w:tcPr>
            <w:tcW w:w="1043" w:type="dxa"/>
            <w:tcBorders>
              <w:bottom w:val="sing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2018级</w:t>
            </w:r>
          </w:p>
          <w:p>
            <w:pPr>
              <w:jc w:val="center"/>
              <w:rPr>
                <w:rFonts w:hint="eastAsia" w:ascii="宋体" w:hAnsi="宋体" w:eastAsia="宋体" w:cs="宋体"/>
                <w:sz w:val="21"/>
                <w:szCs w:val="21"/>
              </w:rPr>
            </w:pPr>
            <w:r>
              <w:rPr>
                <w:rFonts w:hint="eastAsia" w:ascii="宋体" w:hAnsi="宋体" w:eastAsia="宋体" w:cs="宋体"/>
                <w:sz w:val="21"/>
                <w:szCs w:val="21"/>
              </w:rPr>
              <w:t>75人</w:t>
            </w:r>
          </w:p>
        </w:tc>
        <w:tc>
          <w:tcPr>
            <w:tcW w:w="1043" w:type="dxa"/>
            <w:tcBorders>
              <w:bottom w:val="sing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2019级</w:t>
            </w:r>
          </w:p>
          <w:p>
            <w:pPr>
              <w:jc w:val="center"/>
              <w:rPr>
                <w:rFonts w:hint="eastAsia" w:ascii="宋体" w:hAnsi="宋体" w:eastAsia="宋体" w:cs="宋体"/>
                <w:sz w:val="21"/>
                <w:szCs w:val="21"/>
              </w:rPr>
            </w:pPr>
            <w:r>
              <w:rPr>
                <w:rFonts w:hint="eastAsia" w:ascii="宋体" w:hAnsi="宋体" w:eastAsia="宋体" w:cs="宋体"/>
                <w:sz w:val="21"/>
                <w:szCs w:val="21"/>
              </w:rPr>
              <w:t>74人</w:t>
            </w:r>
          </w:p>
        </w:tc>
        <w:tc>
          <w:tcPr>
            <w:tcW w:w="1043" w:type="dxa"/>
            <w:tcBorders>
              <w:bottom w:val="sing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2020级</w:t>
            </w:r>
          </w:p>
          <w:p>
            <w:pPr>
              <w:jc w:val="center"/>
              <w:rPr>
                <w:rFonts w:hint="eastAsia" w:ascii="宋体" w:hAnsi="宋体" w:eastAsia="宋体" w:cs="宋体"/>
                <w:sz w:val="21"/>
                <w:szCs w:val="21"/>
              </w:rPr>
            </w:pPr>
            <w:r>
              <w:rPr>
                <w:rFonts w:hint="eastAsia" w:ascii="宋体" w:hAnsi="宋体" w:eastAsia="宋体" w:cs="宋体"/>
                <w:sz w:val="21"/>
                <w:szCs w:val="21"/>
              </w:rPr>
              <w:t>93人</w:t>
            </w:r>
          </w:p>
        </w:tc>
        <w:tc>
          <w:tcPr>
            <w:tcW w:w="992" w:type="dxa"/>
            <w:tcBorders>
              <w:bottom w:val="single" w:color="auto" w:sz="4" w:space="0"/>
            </w:tcBorders>
          </w:tcPr>
          <w:p>
            <w:pPr>
              <w:jc w:val="center"/>
              <w:rPr>
                <w:rFonts w:ascii="宋体" w:hAnsi="宋体"/>
              </w:rPr>
            </w:pPr>
          </w:p>
        </w:tc>
        <w:tc>
          <w:tcPr>
            <w:tcW w:w="1094" w:type="dxa"/>
            <w:tcBorders>
              <w:bottom w:val="single" w:color="auto" w:sz="4" w:space="0"/>
            </w:tcBorders>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rPr>
            </w:pPr>
          </w:p>
        </w:tc>
        <w:tc>
          <w:tcPr>
            <w:tcW w:w="3748" w:type="dxa"/>
            <w:gridSpan w:val="6"/>
            <w:vAlign w:val="center"/>
          </w:tcPr>
          <w:p>
            <w:pPr>
              <w:jc w:val="center"/>
              <w:rPr>
                <w:rFonts w:hint="default" w:ascii="宋体" w:hAnsi="宋体" w:eastAsia="宋体"/>
                <w:lang w:val="en-US" w:eastAsia="zh-CN"/>
              </w:rPr>
            </w:pPr>
            <w:r>
              <w:rPr>
                <w:rFonts w:hint="eastAsia" w:ascii="宋体" w:hAnsi="宋体"/>
              </w:rPr>
              <w:t>计划规定课程门数</w:t>
            </w:r>
            <w:r>
              <w:rPr>
                <w:rFonts w:hint="eastAsia" w:ascii="宋体" w:hAnsi="宋体"/>
                <w:lang w:val="en-US" w:eastAsia="zh-CN"/>
              </w:rPr>
              <w:t xml:space="preserve"> 56</w:t>
            </w:r>
          </w:p>
        </w:tc>
        <w:tc>
          <w:tcPr>
            <w:tcW w:w="4172" w:type="dxa"/>
            <w:gridSpan w:val="4"/>
            <w:vAlign w:val="center"/>
          </w:tcPr>
          <w:p>
            <w:pPr>
              <w:jc w:val="center"/>
              <w:rPr>
                <w:rFonts w:hint="default" w:ascii="宋体" w:hAnsi="宋体" w:eastAsia="宋体"/>
                <w:lang w:val="en-US" w:eastAsia="zh-CN"/>
              </w:rPr>
            </w:pPr>
            <w:r>
              <w:rPr>
                <w:rFonts w:hint="eastAsia" w:ascii="宋体" w:hAnsi="宋体"/>
              </w:rPr>
              <w:t xml:space="preserve">现已开出课程门数 </w:t>
            </w:r>
            <w:r>
              <w:rPr>
                <w:rFonts w:hint="eastAsia" w:ascii="宋体" w:hAnsi="宋体"/>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8" w:hRule="atLeast"/>
          <w:jc w:val="center"/>
        </w:trPr>
        <w:tc>
          <w:tcPr>
            <w:tcW w:w="540" w:type="dxa"/>
            <w:vMerge w:val="restart"/>
            <w:vAlign w:val="center"/>
          </w:tcPr>
          <w:p>
            <w:pPr>
              <w:jc w:val="center"/>
              <w:rPr>
                <w:rFonts w:ascii="宋体" w:hAnsi="宋体"/>
              </w:rPr>
            </w:pPr>
            <w:r>
              <w:rPr>
                <w:rFonts w:hint="eastAsia" w:ascii="宋体" w:hAnsi="宋体"/>
              </w:rPr>
              <w:t>教</w:t>
            </w:r>
          </w:p>
          <w:p>
            <w:pPr>
              <w:jc w:val="center"/>
              <w:rPr>
                <w:rFonts w:ascii="宋体" w:hAnsi="宋体"/>
              </w:rPr>
            </w:pPr>
          </w:p>
          <w:p>
            <w:pPr>
              <w:jc w:val="center"/>
              <w:rPr>
                <w:rFonts w:ascii="宋体" w:hAnsi="宋体"/>
              </w:rPr>
            </w:pPr>
            <w:r>
              <w:rPr>
                <w:rFonts w:hint="eastAsia" w:ascii="宋体" w:hAnsi="宋体"/>
              </w:rPr>
              <w:t>学</w:t>
            </w:r>
          </w:p>
          <w:p>
            <w:pPr>
              <w:jc w:val="center"/>
              <w:rPr>
                <w:rFonts w:ascii="宋体" w:hAnsi="宋体"/>
              </w:rPr>
            </w:pPr>
          </w:p>
          <w:p>
            <w:pPr>
              <w:jc w:val="center"/>
              <w:rPr>
                <w:rFonts w:ascii="宋体" w:hAnsi="宋体"/>
              </w:rPr>
            </w:pPr>
            <w:r>
              <w:rPr>
                <w:rFonts w:hint="eastAsia" w:ascii="宋体" w:hAnsi="宋体"/>
              </w:rPr>
              <w:t>计</w:t>
            </w:r>
          </w:p>
          <w:p>
            <w:pPr>
              <w:jc w:val="center"/>
              <w:rPr>
                <w:rFonts w:ascii="宋体" w:hAnsi="宋体"/>
              </w:rPr>
            </w:pPr>
          </w:p>
          <w:p>
            <w:pPr>
              <w:jc w:val="center"/>
              <w:rPr>
                <w:rFonts w:ascii="宋体" w:hAnsi="宋体"/>
              </w:rPr>
            </w:pPr>
            <w:r>
              <w:rPr>
                <w:rFonts w:hint="eastAsia" w:ascii="宋体" w:hAnsi="宋体"/>
              </w:rPr>
              <w:t>划</w:t>
            </w:r>
          </w:p>
          <w:p>
            <w:pPr>
              <w:jc w:val="center"/>
              <w:rPr>
                <w:rFonts w:ascii="宋体" w:hAnsi="宋体"/>
              </w:rPr>
            </w:pPr>
          </w:p>
          <w:p>
            <w:pPr>
              <w:jc w:val="center"/>
              <w:rPr>
                <w:rFonts w:ascii="宋体" w:hAnsi="宋体"/>
              </w:rPr>
            </w:pPr>
            <w:r>
              <w:rPr>
                <w:rFonts w:hint="eastAsia" w:ascii="宋体" w:hAnsi="宋体"/>
              </w:rPr>
              <w:t>执</w:t>
            </w:r>
          </w:p>
          <w:p>
            <w:pPr>
              <w:jc w:val="center"/>
              <w:rPr>
                <w:rFonts w:ascii="宋体" w:hAnsi="宋体"/>
              </w:rPr>
            </w:pPr>
          </w:p>
          <w:p>
            <w:pPr>
              <w:jc w:val="center"/>
              <w:rPr>
                <w:rFonts w:ascii="宋体" w:hAnsi="宋体"/>
              </w:rPr>
            </w:pPr>
            <w:r>
              <w:rPr>
                <w:rFonts w:hint="eastAsia" w:ascii="宋体" w:hAnsi="宋体"/>
              </w:rPr>
              <w:t>行</w:t>
            </w:r>
          </w:p>
          <w:p>
            <w:pPr>
              <w:jc w:val="center"/>
              <w:rPr>
                <w:rFonts w:ascii="宋体" w:hAnsi="宋体"/>
              </w:rPr>
            </w:pPr>
          </w:p>
          <w:p>
            <w:pPr>
              <w:jc w:val="center"/>
              <w:rPr>
                <w:rFonts w:ascii="宋体" w:hAnsi="宋体"/>
              </w:rPr>
            </w:pPr>
            <w:r>
              <w:rPr>
                <w:rFonts w:hint="eastAsia" w:ascii="宋体" w:hAnsi="宋体"/>
              </w:rPr>
              <w:t>情</w:t>
            </w:r>
          </w:p>
          <w:p>
            <w:pPr>
              <w:jc w:val="center"/>
              <w:rPr>
                <w:rFonts w:ascii="宋体" w:hAnsi="宋体"/>
              </w:rPr>
            </w:pPr>
          </w:p>
          <w:p>
            <w:pPr>
              <w:jc w:val="center"/>
              <w:rPr>
                <w:rFonts w:ascii="宋体" w:hAnsi="宋体"/>
              </w:rPr>
            </w:pPr>
            <w:r>
              <w:rPr>
                <w:rFonts w:hint="eastAsia" w:ascii="宋体" w:hAnsi="宋体"/>
              </w:rPr>
              <w:t>况</w:t>
            </w:r>
          </w:p>
        </w:tc>
        <w:tc>
          <w:tcPr>
            <w:tcW w:w="1157" w:type="dxa"/>
            <w:gridSpan w:val="3"/>
            <w:vAlign w:val="center"/>
          </w:tcPr>
          <w:p>
            <w:pPr>
              <w:jc w:val="distribute"/>
              <w:rPr>
                <w:rFonts w:ascii="宋体" w:hAnsi="宋体"/>
              </w:rPr>
            </w:pPr>
            <w:r>
              <w:rPr>
                <w:rFonts w:hint="eastAsia" w:ascii="宋体" w:hAnsi="宋体"/>
              </w:rPr>
              <w:t>已开出公共必修课和专业基础必修课名称、学时、任课教师职务、是否达到大纲要求</w:t>
            </w:r>
          </w:p>
        </w:tc>
        <w:tc>
          <w:tcPr>
            <w:tcW w:w="6763" w:type="dxa"/>
            <w:gridSpan w:val="7"/>
            <w:vAlign w:val="center"/>
          </w:tcPr>
          <w:tbl>
            <w:tblPr>
              <w:tblStyle w:val="6"/>
              <w:tblpPr w:leftFromText="180" w:rightFromText="180" w:vertAnchor="page" w:horzAnchor="margin" w:tblpX="-54" w:tblpY="37"/>
              <w:tblOverlap w:val="never"/>
              <w:tblW w:w="6675" w:type="dxa"/>
              <w:tblInd w:w="0" w:type="dxa"/>
              <w:tblLayout w:type="fixed"/>
              <w:tblCellMar>
                <w:top w:w="0" w:type="dxa"/>
                <w:left w:w="108" w:type="dxa"/>
                <w:bottom w:w="0" w:type="dxa"/>
                <w:right w:w="108" w:type="dxa"/>
              </w:tblCellMar>
            </w:tblPr>
            <w:tblGrid>
              <w:gridCol w:w="500"/>
              <w:gridCol w:w="487"/>
              <w:gridCol w:w="425"/>
              <w:gridCol w:w="1757"/>
              <w:gridCol w:w="653"/>
              <w:gridCol w:w="567"/>
              <w:gridCol w:w="623"/>
              <w:gridCol w:w="794"/>
              <w:gridCol w:w="869"/>
            </w:tblGrid>
            <w:tr>
              <w:tblPrEx>
                <w:tblCellMar>
                  <w:top w:w="0" w:type="dxa"/>
                  <w:left w:w="108" w:type="dxa"/>
                  <w:bottom w:w="0" w:type="dxa"/>
                  <w:right w:w="108" w:type="dxa"/>
                </w:tblCellMar>
              </w:tblPrEx>
              <w:trPr>
                <w:trHeight w:val="1056" w:hRule="atLeast"/>
              </w:trPr>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课程类别</w:t>
                  </w:r>
                </w:p>
              </w:tc>
              <w:tc>
                <w:tcPr>
                  <w:tcW w:w="48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课程模块</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序号</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课程名称</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考核形式</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总学时</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实际授课学时</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姓名</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right="10" w:rightChars="5"/>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40" w:lineRule="exact"/>
                    <w:ind w:right="10" w:rightChars="5"/>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职称</w:t>
                  </w:r>
                </w:p>
              </w:tc>
            </w:tr>
            <w:tr>
              <w:tblPrEx>
                <w:tblCellMar>
                  <w:top w:w="0" w:type="dxa"/>
                  <w:left w:w="108" w:type="dxa"/>
                  <w:bottom w:w="0" w:type="dxa"/>
                  <w:right w:w="108" w:type="dxa"/>
                </w:tblCellMar>
              </w:tblPrEx>
              <w:trPr>
                <w:trHeight w:val="287" w:hRule="atLeast"/>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通识教育平台</w:t>
                  </w:r>
                </w:p>
              </w:tc>
              <w:tc>
                <w:tcPr>
                  <w:tcW w:w="48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通识必修课程</w:t>
                  </w: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思想道德修养与法律基础</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胡琼</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287"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中国近现代史纲要</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高元龙</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87"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马克思主义基本原理概论</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刘江</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452"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毛泽东思想和中国特色社会主义理论体系概论</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80</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80</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李海洋</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72"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形势与政策</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794" w:type="dxa"/>
                  <w:tcBorders>
                    <w:top w:val="nil"/>
                    <w:left w:val="nil"/>
                    <w:bottom w:val="single" w:color="auto" w:sz="4" w:space="0"/>
                    <w:right w:val="single" w:color="auto" w:sz="4" w:space="0"/>
                  </w:tcBorders>
                  <w:shd w:val="clear" w:color="auto" w:fill="auto"/>
                  <w:vAlign w:val="center"/>
                </w:tcPr>
                <w:p>
                  <w:pPr>
                    <w:spacing w:line="280" w:lineRule="exact"/>
                    <w:jc w:val="center"/>
                    <w:rPr>
                      <w:rFonts w:ascii="仿宋" w:hAnsi="仿宋" w:eastAsia="仿宋" w:cs="宋体"/>
                      <w:kern w:val="0"/>
                      <w:sz w:val="18"/>
                      <w:szCs w:val="18"/>
                    </w:rPr>
                  </w:pPr>
                  <w:r>
                    <w:rPr>
                      <w:rFonts w:hint="eastAsia" w:ascii="仿宋" w:hAnsi="仿宋" w:eastAsia="仿宋" w:cs="宋体"/>
                      <w:kern w:val="0"/>
                      <w:sz w:val="18"/>
                      <w:szCs w:val="18"/>
                    </w:rPr>
                    <w:t>凌娟娟</w:t>
                  </w:r>
                </w:p>
              </w:tc>
              <w:tc>
                <w:tcPr>
                  <w:tcW w:w="869"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仿宋" w:hAnsi="仿宋" w:eastAsia="仿宋" w:cs="宋体"/>
                      <w:kern w:val="0"/>
                      <w:sz w:val="18"/>
                      <w:szCs w:val="18"/>
                    </w:rPr>
                  </w:pPr>
                  <w:r>
                    <w:rPr>
                      <w:rFonts w:hint="eastAsia" w:ascii="仿宋" w:hAnsi="仿宋" w:eastAsia="仿宋" w:cs="宋体"/>
                      <w:kern w:val="0"/>
                      <w:sz w:val="18"/>
                      <w:szCs w:val="18"/>
                    </w:rPr>
                    <w:t>讲师</w:t>
                  </w:r>
                </w:p>
              </w:tc>
            </w:tr>
            <w:tr>
              <w:tblPrEx>
                <w:tblCellMar>
                  <w:top w:w="0" w:type="dxa"/>
                  <w:left w:w="108" w:type="dxa"/>
                  <w:bottom w:w="0" w:type="dxa"/>
                  <w:right w:w="108" w:type="dxa"/>
                </w:tblCellMar>
              </w:tblPrEx>
              <w:trPr>
                <w:trHeight w:val="272"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大学体育</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128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128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张必瑶</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378"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7</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公共外语</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240</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240</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仿宋" w:eastAsia="仿宋_GB2312" w:cs="宋体"/>
                      <w:kern w:val="0"/>
                      <w:sz w:val="18"/>
                      <w:szCs w:val="18"/>
                    </w:rPr>
                    <w:t>张卉婷</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仿宋" w:eastAsia="仿宋_GB2312" w:cs="宋体"/>
                      <w:kern w:val="0"/>
                      <w:sz w:val="18"/>
                      <w:szCs w:val="18"/>
                    </w:rPr>
                    <w:t>讲师</w:t>
                  </w:r>
                </w:p>
              </w:tc>
            </w:tr>
            <w:tr>
              <w:tblPrEx>
                <w:tblCellMar>
                  <w:top w:w="0" w:type="dxa"/>
                  <w:left w:w="108" w:type="dxa"/>
                  <w:bottom w:w="0" w:type="dxa"/>
                  <w:right w:w="108" w:type="dxa"/>
                </w:tblCellMar>
              </w:tblPrEx>
              <w:trPr>
                <w:trHeight w:val="287"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大学生心理健康教育</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1663" w:type="dxa"/>
                  <w:gridSpan w:val="2"/>
                  <w:tcBorders>
                    <w:top w:val="nil"/>
                    <w:left w:val="nil"/>
                    <w:bottom w:val="single" w:color="auto" w:sz="4" w:space="0"/>
                    <w:right w:val="single" w:color="auto" w:sz="4" w:space="0"/>
                  </w:tcBorders>
                  <w:shd w:val="clear" w:color="auto" w:fill="auto"/>
                  <w:vAlign w:val="center"/>
                </w:tcPr>
                <w:p>
                  <w:pPr>
                    <w:widowControl/>
                    <w:spacing w:line="240" w:lineRule="exact"/>
                    <w:ind w:firstLine="270" w:firstLineChars="150"/>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网络平台</w:t>
                  </w:r>
                </w:p>
              </w:tc>
            </w:tr>
            <w:tr>
              <w:tblPrEx>
                <w:tblCellMar>
                  <w:top w:w="0" w:type="dxa"/>
                  <w:left w:w="108" w:type="dxa"/>
                  <w:bottom w:w="0" w:type="dxa"/>
                  <w:right w:w="108" w:type="dxa"/>
                </w:tblCellMar>
              </w:tblPrEx>
              <w:trPr>
                <w:trHeight w:val="272" w:hRule="atLeast"/>
              </w:trPr>
              <w:tc>
                <w:tcPr>
                  <w:tcW w:w="5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9</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入学教育</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1周</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1周</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张继山</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教授</w:t>
                  </w:r>
                </w:p>
              </w:tc>
            </w:tr>
            <w:tr>
              <w:tblPrEx>
                <w:tblCellMar>
                  <w:top w:w="0" w:type="dxa"/>
                  <w:left w:w="108" w:type="dxa"/>
                  <w:bottom w:w="0" w:type="dxa"/>
                  <w:right w:w="108" w:type="dxa"/>
                </w:tblCellMar>
              </w:tblPrEx>
              <w:trPr>
                <w:trHeight w:val="272" w:hRule="atLeast"/>
              </w:trPr>
              <w:tc>
                <w:tcPr>
                  <w:tcW w:w="500"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学科教育平台</w:t>
                  </w:r>
                </w:p>
              </w:tc>
              <w:tc>
                <w:tcPr>
                  <w:tcW w:w="487"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学科基础课程</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10</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大学物理C</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王平</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72"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高等数学A</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128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128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江安</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72"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12</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计算机科学导论</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裴培</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272"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13</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线性代数</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仿宋" w:eastAsia="仿宋_GB2312"/>
                      <w:sz w:val="18"/>
                      <w:szCs w:val="18"/>
                    </w:rPr>
                    <w:t>王翠翠</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仿宋" w:eastAsia="仿宋_GB2312"/>
                      <w:sz w:val="18"/>
                      <w:szCs w:val="18"/>
                    </w:rPr>
                    <w:t>讲师</w:t>
                  </w:r>
                </w:p>
              </w:tc>
            </w:tr>
            <w:tr>
              <w:tblPrEx>
                <w:tblCellMar>
                  <w:top w:w="0" w:type="dxa"/>
                  <w:left w:w="108" w:type="dxa"/>
                  <w:bottom w:w="0" w:type="dxa"/>
                  <w:right w:w="108" w:type="dxa"/>
                </w:tblCellMar>
              </w:tblPrEx>
              <w:trPr>
                <w:trHeight w:val="272"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14</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离散数学</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朱苍璐</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272"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15</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概率论</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贾静</w:t>
                  </w:r>
                  <w:r>
                    <w:rPr>
                      <w:rFonts w:ascii="仿宋_GB2312" w:hAnsi="宋体" w:eastAsia="仿宋_GB2312" w:cs="宋体"/>
                      <w:color w:val="000000" w:themeColor="text1"/>
                      <w:kern w:val="0"/>
                      <w:sz w:val="18"/>
                      <w:szCs w:val="18"/>
                      <w14:textFill>
                        <w14:solidFill>
                          <w14:schemeClr w14:val="tx1"/>
                        </w14:solidFill>
                      </w14:textFill>
                    </w:rPr>
                    <w:t>丽</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16</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数字逻辑</w:t>
                  </w:r>
                </w:p>
              </w:tc>
              <w:tc>
                <w:tcPr>
                  <w:tcW w:w="65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汪月</w:t>
                  </w:r>
                </w:p>
              </w:tc>
              <w:tc>
                <w:tcPr>
                  <w:tcW w:w="8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助教</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17</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工程应用文写作</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24</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24</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张莉</w:t>
                  </w:r>
                  <w:r>
                    <w:rPr>
                      <w:rFonts w:ascii="仿宋_GB2312" w:hAnsi="宋体" w:eastAsia="仿宋_GB2312" w:cs="宋体"/>
                      <w:color w:val="000000" w:themeColor="text1"/>
                      <w:kern w:val="0"/>
                      <w:sz w:val="18"/>
                      <w:szCs w:val="18"/>
                      <w14:textFill>
                        <w14:solidFill>
                          <w14:schemeClr w14:val="tx1"/>
                        </w14:solidFill>
                      </w14:textFill>
                    </w:rPr>
                    <w:t>萍</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87" w:hRule="atLeast"/>
              </w:trPr>
              <w:tc>
                <w:tcPr>
                  <w:tcW w:w="5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专业教育平台</w:t>
                  </w:r>
                </w:p>
              </w:tc>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专业基础课程</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18</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专业导论</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余久久</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19</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程序设计基础</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杨小虎</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讲师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计算机系统基础</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徐善功</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工程师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数据结构与算法</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丁雪晶</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数据库概论</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张德青</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r>
              <w:tblPrEx>
                <w:tblCellMar>
                  <w:top w:w="0" w:type="dxa"/>
                  <w:left w:w="108" w:type="dxa"/>
                  <w:bottom w:w="0" w:type="dxa"/>
                  <w:right w:w="108" w:type="dxa"/>
                </w:tblCellMar>
              </w:tblPrEx>
              <w:trPr>
                <w:trHeight w:val="287" w:hRule="atLeast"/>
              </w:trPr>
              <w:tc>
                <w:tcPr>
                  <w:tcW w:w="5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23</w:t>
                  </w:r>
                </w:p>
              </w:tc>
              <w:tc>
                <w:tcPr>
                  <w:tcW w:w="175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计算机网络</w:t>
                  </w:r>
                </w:p>
              </w:tc>
              <w:tc>
                <w:tcPr>
                  <w:tcW w:w="65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40</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孙海霞</w:t>
                  </w:r>
                </w:p>
              </w:tc>
              <w:tc>
                <w:tcPr>
                  <w:tcW w:w="86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副教授</w:t>
                  </w:r>
                </w:p>
              </w:tc>
            </w:tr>
          </w:tbl>
          <w:p>
            <w:pPr>
              <w:rPr>
                <w:rFonts w:ascii="宋体" w:hAnsi="宋体"/>
              </w:rPr>
            </w:pPr>
          </w:p>
          <w:p>
            <w:pPr>
              <w:jc w:val="center"/>
              <w:rPr>
                <w:rFonts w:ascii="宋体" w:hAnsi="宋体"/>
                <w:b/>
                <w:bCs/>
                <w:sz w:val="24"/>
                <w:szCs w:val="24"/>
              </w:rPr>
            </w:pPr>
            <w:r>
              <w:rPr>
                <w:rFonts w:hint="eastAsia" w:ascii="宋体" w:hAnsi="宋体"/>
                <w:b/>
                <w:bCs/>
                <w:sz w:val="24"/>
                <w:szCs w:val="24"/>
              </w:rPr>
              <w:t>结论：达到大纲要求</w:t>
            </w:r>
          </w:p>
          <w:p>
            <w:pPr>
              <w:jc w:val="center"/>
              <w:rPr>
                <w:rFonts w:ascii="宋体" w:hAnsi="宋体"/>
              </w:rPr>
            </w:pPr>
          </w:p>
          <w:p>
            <w:pPr>
              <w:rPr>
                <w:rFonts w:ascii="宋体" w:hAnsi="宋体"/>
              </w:rPr>
            </w:pPr>
          </w:p>
          <w:p>
            <w:pPr>
              <w:rPr>
                <w:rFonts w:ascii="宋体" w:hAnsi="宋体"/>
              </w:rPr>
            </w:pPr>
          </w:p>
          <w:p>
            <w:pPr>
              <w:rPr>
                <w:rFonts w:ascii="宋体" w:hAnsi="宋体"/>
              </w:rPr>
            </w:pPr>
          </w:p>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jc w:val="center"/>
              <w:rPr>
                <w:rFonts w:ascii="宋体" w:hAnsi="宋体"/>
              </w:rPr>
            </w:pPr>
          </w:p>
        </w:tc>
        <w:tc>
          <w:tcPr>
            <w:tcW w:w="1157" w:type="dxa"/>
            <w:gridSpan w:val="3"/>
            <w:vAlign w:val="center"/>
          </w:tcPr>
          <w:p>
            <w:pPr>
              <w:jc w:val="distribute"/>
              <w:rPr>
                <w:rFonts w:ascii="宋体" w:hAnsi="宋体"/>
              </w:rPr>
            </w:pPr>
            <w:r>
              <w:rPr>
                <w:rFonts w:hint="eastAsia" w:ascii="宋体" w:hAnsi="宋体"/>
              </w:rPr>
              <w:t>已开出专业必修课名称、学时、任课教师职务、是否达到大纲要求</w:t>
            </w:r>
          </w:p>
        </w:tc>
        <w:tc>
          <w:tcPr>
            <w:tcW w:w="6763" w:type="dxa"/>
            <w:gridSpan w:val="7"/>
            <w:vAlign w:val="center"/>
          </w:tcPr>
          <w:p>
            <w:pPr>
              <w:jc w:val="center"/>
              <w:rPr>
                <w:rFonts w:ascii="宋体" w:hAnsi="宋体"/>
              </w:rPr>
            </w:pPr>
          </w:p>
          <w:tbl>
            <w:tblPr>
              <w:tblStyle w:val="6"/>
              <w:tblW w:w="6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392"/>
              <w:gridCol w:w="2464"/>
              <w:gridCol w:w="518"/>
              <w:gridCol w:w="643"/>
              <w:gridCol w:w="616"/>
              <w:gridCol w:w="672"/>
              <w:gridCol w:w="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课程类别</w:t>
                  </w: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序</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号</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课程名称</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考核</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方式</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计划总学时</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实际授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课学时</w:t>
                  </w:r>
                </w:p>
              </w:tc>
              <w:tc>
                <w:tcPr>
                  <w:tcW w:w="67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姓名</w:t>
                  </w:r>
                </w:p>
              </w:tc>
              <w:tc>
                <w:tcPr>
                  <w:tcW w:w="60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restart"/>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专业必修课程</w:t>
                  </w: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24</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面向对象程序设计</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何珊珊</w:t>
                  </w:r>
                </w:p>
              </w:tc>
              <w:tc>
                <w:tcPr>
                  <w:tcW w:w="602" w:type="dxa"/>
                  <w:tcMar>
                    <w:left w:w="28" w:type="dxa"/>
                    <w:right w:w="28" w:type="dxa"/>
                  </w:tcMar>
                  <w:vAlign w:val="center"/>
                </w:tcPr>
                <w:p>
                  <w:pPr>
                    <w:spacing w:line="280" w:lineRule="exact"/>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25</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软件工程导论</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余久久</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26</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操作系统</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张健</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27</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软件项目管理</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周经文</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28</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软件质量保证与测试</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魏正松</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29</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spacing w:val="-14"/>
                      <w:kern w:val="0"/>
                      <w:sz w:val="18"/>
                      <w:szCs w:val="18"/>
                      <w14:textFill>
                        <w14:solidFill>
                          <w14:schemeClr w14:val="tx1"/>
                        </w14:solidFill>
                      </w14:textFill>
                    </w:rPr>
                  </w:pPr>
                  <w:r>
                    <w:rPr>
                      <w:rFonts w:hint="eastAsia" w:ascii="仿宋_GB2312" w:hAnsi="宋体" w:eastAsia="仿宋_GB2312" w:cs="宋体"/>
                      <w:color w:val="000000" w:themeColor="text1"/>
                      <w:spacing w:val="-14"/>
                      <w:kern w:val="0"/>
                      <w:sz w:val="18"/>
                      <w:szCs w:val="18"/>
                      <w14:textFill>
                        <w14:solidFill>
                          <w14:schemeClr w14:val="tx1"/>
                        </w14:solidFill>
                      </w14:textFill>
                    </w:rPr>
                    <w:t>系统分析与建模</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凌源</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30</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人机交互的软件工程方法</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吴宁</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31</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软件需求分析</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考查</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余久久</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手机应用编程</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48</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汤雷</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33</w:t>
                  </w:r>
                </w:p>
              </w:tc>
              <w:tc>
                <w:tcPr>
                  <w:tcW w:w="2464"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J2SE轻量级框架设计</w:t>
                  </w:r>
                </w:p>
              </w:tc>
              <w:tc>
                <w:tcPr>
                  <w:tcW w:w="51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考试</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32</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周经文</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restart"/>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专业实践课程</w:t>
                  </w: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34</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计算机组装与维护与办公软件应用实训</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吴宁</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35</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程序设计基础课程设计</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杨小虎</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36</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数据结构与算法课程设计</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丁雪晶</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37</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面向对象程序设计课程设计</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张德青</w:t>
                  </w:r>
                </w:p>
              </w:tc>
              <w:tc>
                <w:tcPr>
                  <w:tcW w:w="602" w:type="dxa"/>
                  <w:tcMar>
                    <w:left w:w="28" w:type="dxa"/>
                    <w:right w:w="28" w:type="dxa"/>
                  </w:tcMar>
                  <w:vAlign w:val="center"/>
                </w:tcPr>
                <w:p>
                  <w:pPr>
                    <w:spacing w:line="280" w:lineRule="exact"/>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38</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手机应用编程课程设计</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汤雷</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39</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软件工程职业实践</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 xml:space="preserve">2周 </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2周</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邹娇</w:t>
                  </w: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40</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毕业综合实习</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Merge w:val="continue"/>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39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41</w:t>
                  </w:r>
                </w:p>
              </w:tc>
              <w:tc>
                <w:tcPr>
                  <w:tcW w:w="2464"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毕业设计（论文）</w:t>
                  </w:r>
                </w:p>
              </w:tc>
              <w:tc>
                <w:tcPr>
                  <w:tcW w:w="51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 xml:space="preserve"> </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 xml:space="preserve"> </w:t>
                  </w:r>
                </w:p>
              </w:tc>
              <w:tc>
                <w:tcPr>
                  <w:tcW w:w="67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602"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r>
          </w:tbl>
          <w:p>
            <w:pPr>
              <w:jc w:val="center"/>
              <w:rPr>
                <w:rFonts w:ascii="宋体" w:hAnsi="宋体"/>
                <w:b/>
                <w:bCs/>
                <w:sz w:val="24"/>
                <w:szCs w:val="24"/>
              </w:rPr>
            </w:pPr>
          </w:p>
          <w:p>
            <w:pPr>
              <w:jc w:val="center"/>
              <w:rPr>
                <w:rFonts w:ascii="宋体" w:hAnsi="宋体"/>
                <w:b/>
                <w:bCs/>
                <w:sz w:val="24"/>
                <w:szCs w:val="24"/>
              </w:rPr>
            </w:pPr>
            <w:r>
              <w:rPr>
                <w:rFonts w:hint="eastAsia" w:ascii="宋体" w:hAnsi="宋体"/>
                <w:b/>
                <w:bCs/>
                <w:sz w:val="24"/>
                <w:szCs w:val="24"/>
              </w:rPr>
              <w:t>结论：达到大纲要求</w:t>
            </w:r>
          </w:p>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jc w:val="center"/>
              <w:rPr>
                <w:rFonts w:ascii="宋体" w:hAnsi="宋体"/>
              </w:rPr>
            </w:pPr>
          </w:p>
        </w:tc>
        <w:tc>
          <w:tcPr>
            <w:tcW w:w="1157" w:type="dxa"/>
            <w:gridSpan w:val="3"/>
            <w:vAlign w:val="center"/>
          </w:tcPr>
          <w:p>
            <w:pPr>
              <w:jc w:val="distribute"/>
              <w:rPr>
                <w:rFonts w:ascii="宋体" w:hAnsi="宋体"/>
              </w:rPr>
            </w:pPr>
            <w:r>
              <w:rPr>
                <w:rFonts w:hint="eastAsia" w:ascii="宋体" w:hAnsi="宋体"/>
              </w:rPr>
              <w:t>已开出实验课、实习课名称、学时、任课教师职务、是否达到大纲要求</w:t>
            </w:r>
          </w:p>
        </w:tc>
        <w:tc>
          <w:tcPr>
            <w:tcW w:w="6763" w:type="dxa"/>
            <w:gridSpan w:val="7"/>
            <w:vAlign w:val="center"/>
          </w:tcPr>
          <w:p>
            <w:pPr>
              <w:jc w:val="center"/>
              <w:rPr>
                <w:rFonts w:ascii="宋体" w:hAnsi="宋体"/>
              </w:rPr>
            </w:pPr>
          </w:p>
          <w:tbl>
            <w:tblPr>
              <w:tblStyle w:val="6"/>
              <w:tblW w:w="6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406"/>
              <w:gridCol w:w="2450"/>
              <w:gridCol w:w="532"/>
              <w:gridCol w:w="643"/>
              <w:gridCol w:w="616"/>
              <w:gridCol w:w="658"/>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课程类别</w:t>
                  </w:r>
                </w:p>
              </w:tc>
              <w:tc>
                <w:tcPr>
                  <w:tcW w:w="40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序</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号</w:t>
                  </w:r>
                </w:p>
              </w:tc>
              <w:tc>
                <w:tcPr>
                  <w:tcW w:w="2450"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课程名称</w:t>
                  </w:r>
                </w:p>
              </w:tc>
              <w:tc>
                <w:tcPr>
                  <w:tcW w:w="532"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考核</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方式</w:t>
                  </w:r>
                </w:p>
              </w:tc>
              <w:tc>
                <w:tcPr>
                  <w:tcW w:w="643"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计划总学时</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实际授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课学时</w:t>
                  </w:r>
                </w:p>
              </w:tc>
              <w:tc>
                <w:tcPr>
                  <w:tcW w:w="658"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姓名</w:t>
                  </w:r>
                </w:p>
              </w:tc>
              <w:tc>
                <w:tcPr>
                  <w:tcW w:w="616" w:type="dxa"/>
                  <w:tcMar>
                    <w:left w:w="28" w:type="dxa"/>
                    <w:right w:w="28" w:type="dxa"/>
                  </w:tcMar>
                  <w:vAlign w:val="center"/>
                </w:tcPr>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教师</w:t>
                  </w:r>
                </w:p>
                <w:p>
                  <w:pPr>
                    <w:widowControl/>
                    <w:spacing w:line="280" w:lineRule="exact"/>
                    <w:jc w:val="center"/>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restart"/>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实验实习课程</w:t>
                  </w:r>
                </w:p>
              </w:tc>
              <w:tc>
                <w:tcPr>
                  <w:tcW w:w="406" w:type="dxa"/>
                  <w:shd w:val="clear" w:color="auto" w:fill="FFFFFF" w:themeFill="background1"/>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w:t>
                  </w:r>
                </w:p>
              </w:tc>
              <w:tc>
                <w:tcPr>
                  <w:tcW w:w="2450"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大学物理实验C</w:t>
                  </w:r>
                </w:p>
              </w:tc>
              <w:tc>
                <w:tcPr>
                  <w:tcW w:w="532"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考试</w:t>
                  </w:r>
                </w:p>
              </w:tc>
              <w:tc>
                <w:tcPr>
                  <w:tcW w:w="643"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36</w:t>
                  </w:r>
                </w:p>
              </w:tc>
              <w:tc>
                <w:tcPr>
                  <w:tcW w:w="616"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36</w:t>
                  </w:r>
                </w:p>
              </w:tc>
              <w:tc>
                <w:tcPr>
                  <w:tcW w:w="658" w:type="dxa"/>
                  <w:tcMar>
                    <w:left w:w="28" w:type="dxa"/>
                    <w:right w:w="28" w:type="dxa"/>
                  </w:tcMar>
                  <w:vAlign w:val="center"/>
                </w:tcPr>
                <w:p>
                  <w:pPr>
                    <w:spacing w:line="280" w:lineRule="exact"/>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陶灵平</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shd w:val="clear" w:color="auto" w:fill="FFFFFF" w:themeFill="background1"/>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w:t>
                  </w:r>
                </w:p>
              </w:tc>
              <w:tc>
                <w:tcPr>
                  <w:tcW w:w="2450"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数字逻辑实验</w:t>
                  </w:r>
                </w:p>
              </w:tc>
              <w:tc>
                <w:tcPr>
                  <w:tcW w:w="532"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12</w:t>
                  </w:r>
                </w:p>
              </w:tc>
              <w:tc>
                <w:tcPr>
                  <w:tcW w:w="616" w:type="dxa"/>
                  <w:shd w:val="clear" w:color="auto" w:fill="FFFFFF" w:themeFill="background1"/>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张文正</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3</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程序设计基础实验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24</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24</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杨小虎</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4</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计算机系统基础实验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徐善功</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5</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数据结构与算法实验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丁雪晶</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6</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数据库概论实验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张德青</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7</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计算机网络实验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孙海霞</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8</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面向对象程序设计实验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24</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24</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张德青</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9</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系统分析与建模实验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凌源</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10</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手机应用编程实验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汤雷</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11</w:t>
                  </w:r>
                </w:p>
              </w:tc>
              <w:tc>
                <w:tcPr>
                  <w:tcW w:w="2450" w:type="dxa"/>
                  <w:tcMar>
                    <w:left w:w="28" w:type="dxa"/>
                    <w:right w:w="28" w:type="dxa"/>
                  </w:tcMa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J2SE轻量级框架设计实验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周经文</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2450" w:type="dxa"/>
                  <w:tcMar>
                    <w:left w:w="28" w:type="dxa"/>
                    <w:right w:w="28" w:type="dxa"/>
                  </w:tcMa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软件工程职业实践</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邹娇</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ascii="仿宋_GB2312" w:hAnsi="宋体" w:eastAsia="仿宋_GB2312" w:cs="宋体"/>
                      <w:color w:val="000000" w:themeColor="text1"/>
                      <w:sz w:val="18"/>
                      <w:szCs w:val="18"/>
                      <w14:textFill>
                        <w14:solidFill>
                          <w14:schemeClr w14:val="tx1"/>
                        </w14:solidFill>
                      </w14:textFill>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13</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PHP技术实验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朱苍璐</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14</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Python程序设计实验</w:t>
                  </w:r>
                </w:p>
              </w:tc>
              <w:tc>
                <w:tcPr>
                  <w:tcW w:w="532"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林徐</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p>
              </w:tc>
              <w:tc>
                <w:tcPr>
                  <w:tcW w:w="40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15</w:t>
                  </w:r>
                </w:p>
              </w:tc>
              <w:tc>
                <w:tcPr>
                  <w:tcW w:w="2450"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人工智能导论</w:t>
                  </w:r>
                </w:p>
              </w:tc>
              <w:tc>
                <w:tcPr>
                  <w:tcW w:w="532" w:type="dxa"/>
                  <w:tcMar>
                    <w:left w:w="28" w:type="dxa"/>
                    <w:right w:w="28" w:type="dxa"/>
                  </w:tcMar>
                  <w:vAlign w:val="center"/>
                </w:tcPr>
                <w:p>
                  <w:pPr>
                    <w:jc w:val="center"/>
                    <w:rPr>
                      <w:rFonts w:ascii="仿宋_GB2312" w:eastAsia="仿宋_GB2312"/>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考查</w:t>
                  </w:r>
                </w:p>
              </w:tc>
              <w:tc>
                <w:tcPr>
                  <w:tcW w:w="643"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16" w:type="dxa"/>
                  <w:tcMar>
                    <w:left w:w="28" w:type="dxa"/>
                    <w:right w:w="28" w:type="dxa"/>
                  </w:tcMar>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12</w:t>
                  </w:r>
                </w:p>
              </w:tc>
              <w:tc>
                <w:tcPr>
                  <w:tcW w:w="658"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岳国庆</w:t>
                  </w:r>
                </w:p>
              </w:tc>
              <w:tc>
                <w:tcPr>
                  <w:tcW w:w="616" w:type="dxa"/>
                  <w:tcMar>
                    <w:left w:w="28" w:type="dxa"/>
                    <w:right w:w="28" w:type="dxa"/>
                  </w:tcMar>
                  <w:vAlign w:val="center"/>
                </w:tcPr>
                <w:p>
                  <w:pPr>
                    <w:spacing w:line="280" w:lineRule="exact"/>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hAnsi="宋体" w:eastAsia="仿宋_GB2312" w:cs="宋体"/>
                      <w:color w:val="000000" w:themeColor="text1"/>
                      <w:sz w:val="18"/>
                      <w:szCs w:val="18"/>
                      <w14:textFill>
                        <w14:solidFill>
                          <w14:schemeClr w14:val="tx1"/>
                        </w14:solidFill>
                      </w14:textFill>
                    </w:rPr>
                    <w:t>副教授</w:t>
                  </w:r>
                </w:p>
              </w:tc>
            </w:tr>
          </w:tbl>
          <w:p>
            <w:pPr>
              <w:jc w:val="center"/>
              <w:rPr>
                <w:rFonts w:ascii="宋体" w:hAnsi="宋体"/>
              </w:rPr>
            </w:pPr>
          </w:p>
          <w:p>
            <w:pPr>
              <w:jc w:val="center"/>
              <w:rPr>
                <w:rFonts w:ascii="宋体" w:hAnsi="宋体"/>
              </w:rPr>
            </w:pPr>
            <w:r>
              <w:rPr>
                <w:rFonts w:hint="eastAsia" w:ascii="宋体" w:hAnsi="宋体"/>
                <w:b/>
                <w:bCs/>
                <w:sz w:val="24"/>
                <w:szCs w:val="24"/>
              </w:rPr>
              <w:t>结论：达到大纲要求</w:t>
            </w:r>
          </w:p>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1" w:hRule="atLeast"/>
          <w:jc w:val="center"/>
        </w:trPr>
        <w:tc>
          <w:tcPr>
            <w:tcW w:w="540" w:type="dxa"/>
            <w:vMerge w:val="continue"/>
            <w:vAlign w:val="center"/>
          </w:tcPr>
          <w:p>
            <w:pPr>
              <w:jc w:val="center"/>
              <w:rPr>
                <w:rFonts w:ascii="宋体" w:hAnsi="宋体"/>
              </w:rPr>
            </w:pPr>
          </w:p>
        </w:tc>
        <w:tc>
          <w:tcPr>
            <w:tcW w:w="1157" w:type="dxa"/>
            <w:gridSpan w:val="3"/>
            <w:vAlign w:val="center"/>
          </w:tcPr>
          <w:p>
            <w:pPr>
              <w:jc w:val="distribute"/>
              <w:rPr>
                <w:rFonts w:ascii="宋体" w:hAnsi="宋体"/>
              </w:rPr>
            </w:pPr>
            <w:r>
              <w:rPr>
                <w:rFonts w:hint="eastAsia" w:ascii="宋体" w:hAnsi="宋体"/>
              </w:rPr>
              <w:t>毕业论文或毕业设计目前或计划执行情况、指导教师</w:t>
            </w:r>
          </w:p>
          <w:p>
            <w:pPr>
              <w:jc w:val="distribute"/>
              <w:rPr>
                <w:rFonts w:ascii="宋体" w:hAnsi="宋体"/>
              </w:rPr>
            </w:pPr>
            <w:r>
              <w:rPr>
                <w:rFonts w:hint="eastAsia" w:ascii="宋体" w:hAnsi="宋体"/>
              </w:rPr>
              <w:t>情况</w:t>
            </w:r>
          </w:p>
        </w:tc>
        <w:tc>
          <w:tcPr>
            <w:tcW w:w="6763" w:type="dxa"/>
            <w:gridSpan w:val="7"/>
          </w:tcPr>
          <w:p>
            <w:pPr>
              <w:spacing w:line="400" w:lineRule="exact"/>
              <w:ind w:firstLine="420" w:firstLineChars="200"/>
              <w:rPr>
                <w:rFonts w:ascii="宋体" w:hAnsi="宋体" w:cs="宋体"/>
                <w:szCs w:val="21"/>
              </w:rPr>
            </w:pPr>
            <w:r>
              <w:rPr>
                <w:rFonts w:hint="eastAsia" w:ascii="宋体" w:hAnsi="宋体" w:cs="宋体"/>
                <w:szCs w:val="21"/>
              </w:rPr>
              <w:t>为了保证本科毕业设计（论文）能按时、按质完成，我院成立了毕业设计（论文）指导小组，按照学校的毕业设计（论文）有关规定和我院制定的相应规章制度和管理办法严格管理。</w:t>
            </w:r>
          </w:p>
          <w:p>
            <w:pPr>
              <w:spacing w:line="400" w:lineRule="exact"/>
              <w:ind w:firstLine="420" w:firstLineChars="200"/>
              <w:rPr>
                <w:rFonts w:ascii="宋体" w:hAnsi="宋体" w:cs="宋体"/>
                <w:szCs w:val="21"/>
              </w:rPr>
            </w:pPr>
            <w:r>
              <w:rPr>
                <w:rFonts w:hint="eastAsia" w:ascii="宋体" w:hAnsi="宋体" w:cs="宋体"/>
                <w:szCs w:val="21"/>
              </w:rPr>
              <w:t>2017级本科软件工程专业58位学生在经过毕业设计（论文）选题、开题报告撰写、毕业实习和调研后，目前毕业设计（论文）已进入初稿写作及修改阶段。</w:t>
            </w:r>
          </w:p>
          <w:p>
            <w:pPr>
              <w:spacing w:line="400" w:lineRule="exact"/>
              <w:ind w:firstLine="420" w:firstLineChars="200"/>
              <w:rPr>
                <w:rFonts w:ascii="宋体" w:hAnsi="宋体" w:cs="宋体"/>
                <w:szCs w:val="21"/>
              </w:rPr>
            </w:pPr>
            <w:r>
              <w:rPr>
                <w:rFonts w:hint="eastAsia" w:ascii="宋体" w:hAnsi="宋体" w:cs="宋体"/>
                <w:szCs w:val="21"/>
              </w:rPr>
              <w:t>总共有21位教师参与2017级本科软件工程专业毕业设计（论文）的指导工作，目前进展情况良好，符合安徽三联学院本科毕业设计（论文）指导教师要求。</w:t>
            </w: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p>
            <w:pPr>
              <w:spacing w:line="4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60" w:type="dxa"/>
            <w:gridSpan w:val="11"/>
            <w:vAlign w:val="center"/>
          </w:tcPr>
          <w:p>
            <w:pPr>
              <w:rPr>
                <w:rFonts w:ascii="宋体" w:hAnsi="宋体"/>
              </w:rPr>
            </w:pPr>
            <w:r>
              <w:rPr>
                <w:rFonts w:hint="eastAsia" w:ascii="宋体" w:hAnsi="宋体"/>
              </w:rPr>
              <w:t>本专业成立以来的主要工作，特别是为保证本科教学质量采取的主要措施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0" w:hRule="atLeast"/>
          <w:jc w:val="center"/>
        </w:trPr>
        <w:tc>
          <w:tcPr>
            <w:tcW w:w="8460" w:type="dxa"/>
            <w:gridSpan w:val="11"/>
          </w:tcPr>
          <w:p>
            <w:pPr>
              <w:widowControl/>
              <w:spacing w:line="400" w:lineRule="exact"/>
              <w:ind w:firstLine="211" w:firstLineChars="100"/>
              <w:rPr>
                <w:rFonts w:ascii="宋体" w:hAnsi="宋体" w:cs="宋体"/>
                <w:b/>
                <w:kern w:val="0"/>
                <w:szCs w:val="21"/>
                <w:lang w:bidi="en-US"/>
              </w:rPr>
            </w:pPr>
            <w:r>
              <w:rPr>
                <w:rFonts w:hint="eastAsia" w:ascii="宋体" w:hAnsi="宋体" w:cs="宋体"/>
                <w:b/>
                <w:kern w:val="0"/>
                <w:szCs w:val="21"/>
                <w:lang w:bidi="en-US"/>
              </w:rPr>
              <w:t>一、专业建设及人才培养方案</w:t>
            </w:r>
          </w:p>
          <w:p>
            <w:pPr>
              <w:widowControl/>
              <w:spacing w:line="400" w:lineRule="exact"/>
              <w:ind w:firstLine="422" w:firstLineChars="200"/>
              <w:rPr>
                <w:rFonts w:ascii="宋体" w:hAnsi="宋体" w:cs="宋体"/>
                <w:b/>
                <w:szCs w:val="21"/>
              </w:rPr>
            </w:pPr>
            <w:r>
              <w:rPr>
                <w:rFonts w:hint="eastAsia" w:ascii="宋体" w:hAnsi="宋体" w:cs="宋体"/>
                <w:b/>
                <w:szCs w:val="21"/>
              </w:rPr>
              <w:t>（一）专业建设</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我们在对本地软件及服务产业充分调研的基础上，于2016年下半年申报了本科软件工程专业。该专业于2017年3月正式获批，2017年9月正式招生。在此基础上，我们再次开展了专业调研活动，进一步明确了以服务地方经济社会发展为宗旨，以促进就业为导向，建立产教融合、协同育人机制，努力创新人才培养模式，以增强学生就业及创新（业）能力为核心，加强思想道德、人文素养教育和技术技能培养，全面提升人才培养质量。加强应用型本科软件工程专业的内涵建设，突出办学特色，努力把软件工程专业建设成为适应地方软件及服务产业发展需要、具备行业特色、产学研结合紧密、教学改革卓有成效、人才培养质量高的特色专业。</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专业建设期间，我们提出了“选定专业方向，抓好科学研究和教学改革，凝练专业特色，采取有效措施，引进高层次人才，加强师资队伍建设”的发展目标。同时，我校采取有效措施，编制了科学合理的地方应用型本科软件工程专业建设规划，作为专业建设的顶层设计，有效指导软件工程专业按计划完成各年度的建设目标，使得软件工程专业在建设的过程中措施得力，成效显著。</w:t>
            </w:r>
          </w:p>
          <w:p>
            <w:pPr>
              <w:widowControl/>
              <w:spacing w:line="400" w:lineRule="exact"/>
              <w:ind w:firstLine="422" w:firstLineChars="200"/>
              <w:rPr>
                <w:rFonts w:ascii="宋体" w:hAnsi="宋体" w:cs="宋体"/>
                <w:b/>
                <w:szCs w:val="21"/>
              </w:rPr>
            </w:pPr>
            <w:r>
              <w:rPr>
                <w:rFonts w:hint="eastAsia" w:ascii="宋体" w:hAnsi="宋体" w:cs="宋体"/>
                <w:b/>
                <w:szCs w:val="21"/>
              </w:rPr>
              <w:t>（二）人才培养方案</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安徽三联学院本科软件工程专业面向安徽省区域经济发展需求，结合我校办学指导思想和人才培养目标定位，邀请了安徽三联交通应用技术有限公司、合肥科大讯飞信息科技公司、合肥达内科技有限公司、安徽晶奇网络科技股份有限公司、联宝(合肥)电子科技有限公司等本地软件企业一线工程师，共同探讨地方应用型软件工程人才培养方案。2017年拟定了《软件工程专业人才培养方案》初稿（试行），2018年上半年对《软件工程专业人才培养方案》再次修订。同时充分借鉴省内其他应用型本科高校软件工程类人才培养的成功经验，在此期间反复论证与修订，最后共同完成制定了安徽三联学院《软件工程专业人才培养方案》（2018版）。</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本专业人才培养立足于合肥，面向安徽，服务长三角经济区域的软件应用及服务行业，广泛对接本地中、小（微）软件企业，主要面向移动终端软件工程师职业岗位，培养德、智、体、美、劳全面发展，具备软件技术及其相关学科领域扎实的基础理论和系统的专业知识，能够从事基于主流移动终端平台下的中小规模的应用软件系统的需求分析、设计、编码、测试、运行、维护及管理等工作，具有社会责任感、创新创业意识和一定实践能力的高素质应用型专门人才。</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软件工程专业学制四年，共修</w:t>
            </w:r>
            <w:r>
              <w:rPr>
                <w:rFonts w:ascii="宋体" w:hAnsi="宋体" w:cs="宋体"/>
                <w:kern w:val="0"/>
                <w:szCs w:val="21"/>
                <w:lang w:bidi="en-US"/>
              </w:rPr>
              <w:t>2202</w:t>
            </w:r>
            <w:r>
              <w:rPr>
                <w:rFonts w:hint="eastAsia" w:ascii="宋体" w:hAnsi="宋体" w:cs="宋体"/>
                <w:kern w:val="0"/>
                <w:szCs w:val="21"/>
                <w:lang w:bidi="en-US"/>
              </w:rPr>
              <w:t>学时，最低毕业学分为175.5。其中通识教育平台49学分，学分比例为27.92%；学科教育平台28.5学分，学分比例为16.24%；专业教育平台86学分，学分比例为49.00%；创新创业教育平台12学分，学分比例为6.84%。本专业各类实践教学学分总和为61.6，实践教学学分占比为35.04%。</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本专业实践教学环节：内容包括入学教育、军训、思想政治教育、课程设计、课程实训、企业参观实习、毕业综合实习、毕业设计（论文）、毕业教育等。</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本专业人才培养方案已在2018-2020级软件工程专业人才培养过程中严格实施，目前执行情况良好。</w:t>
            </w:r>
          </w:p>
          <w:p>
            <w:pPr>
              <w:widowControl/>
              <w:spacing w:line="400" w:lineRule="exact"/>
              <w:ind w:firstLine="211" w:firstLineChars="100"/>
              <w:rPr>
                <w:rFonts w:ascii="宋体" w:hAnsi="宋体" w:cs="宋体"/>
                <w:b/>
                <w:kern w:val="0"/>
                <w:szCs w:val="21"/>
                <w:lang w:bidi="en-US"/>
              </w:rPr>
            </w:pPr>
            <w:r>
              <w:rPr>
                <w:rFonts w:hint="eastAsia" w:ascii="宋体" w:hAnsi="宋体" w:cs="宋体"/>
                <w:b/>
                <w:kern w:val="0"/>
                <w:szCs w:val="21"/>
                <w:lang w:bidi="en-US"/>
              </w:rPr>
              <w:t>二、教师队伍</w:t>
            </w:r>
          </w:p>
          <w:p>
            <w:pPr>
              <w:widowControl/>
              <w:spacing w:line="400" w:lineRule="exact"/>
              <w:ind w:firstLine="422" w:firstLineChars="200"/>
              <w:rPr>
                <w:rFonts w:ascii="宋体" w:hAnsi="宋体" w:cs="宋体"/>
                <w:b/>
                <w:szCs w:val="21"/>
              </w:rPr>
            </w:pPr>
            <w:r>
              <w:rPr>
                <w:rFonts w:hint="eastAsia" w:ascii="宋体" w:hAnsi="宋体" w:cs="宋体"/>
                <w:b/>
                <w:szCs w:val="21"/>
              </w:rPr>
              <w:t>（一）专业负责人</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本专业负责人为余久久教授，安徽三联学院本科教学工作校内评审专家库成员，现任我校计算机工程学院软件工程教研室主任，本科软件工程专业负责人，安徽省省级大规模开放课程(MOOC)</w:t>
            </w:r>
            <w:r>
              <w:rPr>
                <w:rFonts w:hint="eastAsia"/>
              </w:rPr>
              <w:t>—</w:t>
            </w:r>
            <w:r>
              <w:rPr>
                <w:rFonts w:hint="eastAsia" w:ascii="宋体" w:hAnsi="宋体" w:cs="宋体"/>
                <w:kern w:val="0"/>
                <w:szCs w:val="21"/>
                <w:lang w:bidi="en-US"/>
              </w:rPr>
              <w:t>软件工程、省级《软件工程》精品资源共享课程、省级软件工程教学团队、以及省级软件工程教学思政建设项目主要负责人等，中国计算机学会(CCF)会员，IEEE（CS）会员、安徽省电子学会会员。在校期间荣获安徽三联学院优秀教师、校级二星级教师、安徽三联学院先进个人等荣誉称号。主讲大学本科计算机及软件工程专业主干课程，主要有：《程序设计基础》、《面向对象的程序设计》、《软件工程》、《数据结构与算法》、《操作系统》、《软件体系结构》、《软件质量保证与测试》、《软件需求分析》、《软件项目管理》、《计算机专业英语》等。主要研究领域为现代软件工程，软件测试，信息教育技术，信息化教学资源建设。工作至今，主持（参与）研究计算机及软件工程领域省（校）级教、科研项目9项，荣获安徽三联学院校级教学成果奖三等奖1项（第一完成人），指导省（校）级大学生创新创业实践项目4项，公开发表三类及以上本专业学术论文（含教学研究类论文）20余篇（其中EI收录12篇），主编（独撰）大学计算机类专业教材3部。</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余久久教授组织制定了安徽三联学院本科软件工程专业建设规划和人才培养方案（2018版），并积极组织校内专业教师申报软件工程领域省（校）级教、科研课题，开展学术交流活动，指导本专业课程建设、教材建设、实验室及实习实训基地建设、以及地方应用型软件工程人才培养方案的实施活动，在学术梯队的组建和青年教师的培养方面发挥了重要带头和指导作用。余久久教授作为本专业负责人，其教学及科研水平符合完全我校专业负责人的要求，其近5年的教、科研成果较多，已在专业教学团队中形成很好的“带头”作用。</w:t>
            </w:r>
          </w:p>
          <w:p>
            <w:pPr>
              <w:widowControl/>
              <w:spacing w:line="400" w:lineRule="exact"/>
              <w:ind w:firstLine="422" w:firstLineChars="200"/>
              <w:rPr>
                <w:rFonts w:ascii="宋体" w:hAnsi="宋体" w:cs="宋体"/>
                <w:b/>
                <w:szCs w:val="21"/>
              </w:rPr>
            </w:pPr>
            <w:r>
              <w:rPr>
                <w:rFonts w:hint="eastAsia" w:ascii="宋体" w:hAnsi="宋体" w:cs="宋体"/>
                <w:b/>
                <w:szCs w:val="21"/>
              </w:rPr>
              <w:t>（二）专业教师队伍</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安徽三联学院本科软件工程专业现有专业教师22人，其中专任教师18人，外聘教师4人，表1所示。在职称结构上，具有高级职称（副教授及以上）的教师8名,中级职称（讲师、实验师）教师10名，中、高级职称教师比例为81.8%。在年龄结构上，教师的年龄结构为45岁以上教师2名，35-45岁教师10名，35岁以下教师10名，中、青年教师比例占90.9%。在学历结构上，硕士及以上者20名，占比为90.9%。师资队伍职称、学历、年龄结构分布见表2。本专业教师年龄结构分布均匀，职称及学历结构合理。</w:t>
            </w:r>
          </w:p>
          <w:p>
            <w:pPr>
              <w:adjustRightInd w:val="0"/>
              <w:snapToGrid w:val="0"/>
              <w:spacing w:line="400" w:lineRule="exact"/>
              <w:ind w:firstLine="420" w:firstLineChars="200"/>
              <w:rPr>
                <w:rFonts w:ascii="宋体" w:hAnsi="宋体" w:cs="Tahoma"/>
                <w:kern w:val="0"/>
                <w:szCs w:val="21"/>
              </w:rPr>
            </w:pPr>
            <w:r>
              <w:rPr>
                <w:rFonts w:hint="eastAsia" w:ascii="宋体" w:hAnsi="宋体" w:cs="Tahoma"/>
                <w:kern w:val="0"/>
                <w:szCs w:val="21"/>
              </w:rPr>
              <w:t>经过近四年的建设，现已形成具有一定职称结构和学历层次的教师梯队，师资队伍整体结构较为合理，发展趋势良好，现专任教师总数满足教学需求，专业核心课教师6人。近三年内开设不低于两门课程的教师占专任教师的比例为86.36%，能够满足本学科建设和应用型人才培养的需要，各项指标均达到要求。</w:t>
            </w:r>
          </w:p>
          <w:p>
            <w:pPr>
              <w:spacing w:line="400" w:lineRule="exact"/>
              <w:jc w:val="center"/>
              <w:rPr>
                <w:rFonts w:ascii="宋体" w:hAnsi="宋体"/>
                <w:b/>
                <w:szCs w:val="21"/>
              </w:rPr>
            </w:pPr>
            <w:r>
              <w:rPr>
                <w:rFonts w:hint="eastAsia" w:ascii="宋体" w:hAnsi="宋体"/>
                <w:b/>
                <w:szCs w:val="21"/>
              </w:rPr>
              <w:t>表1  软件工程专业教师基本情况一览表</w:t>
            </w:r>
          </w:p>
          <w:tbl>
            <w:tblPr>
              <w:tblStyle w:val="6"/>
              <w:tblW w:w="8293" w:type="dxa"/>
              <w:jc w:val="center"/>
              <w:tblLayout w:type="fixed"/>
              <w:tblCellMar>
                <w:top w:w="0" w:type="dxa"/>
                <w:left w:w="108" w:type="dxa"/>
                <w:bottom w:w="0" w:type="dxa"/>
                <w:right w:w="108" w:type="dxa"/>
              </w:tblCellMar>
            </w:tblPr>
            <w:tblGrid>
              <w:gridCol w:w="647"/>
              <w:gridCol w:w="810"/>
              <w:gridCol w:w="1725"/>
              <w:gridCol w:w="1545"/>
              <w:gridCol w:w="765"/>
              <w:gridCol w:w="600"/>
              <w:gridCol w:w="645"/>
              <w:gridCol w:w="1556"/>
            </w:tblGrid>
            <w:tr>
              <w:tblPrEx>
                <w:tblCellMar>
                  <w:top w:w="0" w:type="dxa"/>
                  <w:left w:w="108" w:type="dxa"/>
                  <w:bottom w:w="0" w:type="dxa"/>
                  <w:right w:w="108" w:type="dxa"/>
                </w:tblCellMar>
              </w:tblPrEx>
              <w:trPr>
                <w:trHeight w:val="242"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序号</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姓名</w:t>
                  </w:r>
                </w:p>
              </w:tc>
              <w:tc>
                <w:tcPr>
                  <w:tcW w:w="172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毕业院校</w:t>
                  </w:r>
                </w:p>
              </w:tc>
              <w:tc>
                <w:tcPr>
                  <w:tcW w:w="154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所学专业</w:t>
                  </w:r>
                </w:p>
              </w:tc>
              <w:tc>
                <w:tcPr>
                  <w:tcW w:w="76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职称</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学位</w:t>
                  </w:r>
                </w:p>
              </w:tc>
              <w:tc>
                <w:tcPr>
                  <w:tcW w:w="64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年龄</w:t>
                  </w:r>
                </w:p>
              </w:tc>
              <w:tc>
                <w:tcPr>
                  <w:tcW w:w="1556" w:type="dxa"/>
                  <w:tcBorders>
                    <w:top w:val="single" w:color="auto" w:sz="4" w:space="0"/>
                    <w:left w:val="nil"/>
                    <w:bottom w:val="single" w:color="auto" w:sz="4" w:space="0"/>
                    <w:right w:val="single" w:color="auto" w:sz="4" w:space="0"/>
                  </w:tcBorders>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所授课程</w:t>
                  </w:r>
                </w:p>
              </w:tc>
            </w:tr>
            <w:tr>
              <w:tblPrEx>
                <w:tblCellMar>
                  <w:top w:w="0" w:type="dxa"/>
                  <w:left w:w="108" w:type="dxa"/>
                  <w:bottom w:w="0" w:type="dxa"/>
                  <w:right w:w="108" w:type="dxa"/>
                </w:tblCellMar>
              </w:tblPrEx>
              <w:trPr>
                <w:trHeight w:val="120"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余久久</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浙江大学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42</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软件工程导论、软件质量保证与测试</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陈蕴</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阜阳师范学院</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计算机应用</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本科</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63</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ascii="仿宋" w:hAnsi="仿宋" w:eastAsia="仿宋"/>
                      <w:sz w:val="18"/>
                      <w:szCs w:val="18"/>
                    </w:rPr>
                    <w:t>本科毕业设计（论文）</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3</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张德青</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合肥工业大学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管理科学与工程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副教授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37</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面向对象程序设计、操作系统</w:t>
                  </w:r>
                </w:p>
              </w:tc>
            </w:tr>
            <w:tr>
              <w:tblPrEx>
                <w:tblCellMar>
                  <w:top w:w="0" w:type="dxa"/>
                  <w:left w:w="108" w:type="dxa"/>
                  <w:bottom w:w="0" w:type="dxa"/>
                  <w:right w:w="108" w:type="dxa"/>
                </w:tblCellMar>
              </w:tblPrEx>
              <w:trPr>
                <w:trHeight w:val="355"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4</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岳国庆</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管理科学与工程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副教授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40</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人工</w:t>
                  </w:r>
                  <w:r>
                    <w:rPr>
                      <w:rFonts w:ascii="仿宋" w:hAnsi="仿宋" w:eastAsia="仿宋"/>
                      <w:sz w:val="18"/>
                      <w:szCs w:val="18"/>
                    </w:rPr>
                    <w:t>智能导论</w:t>
                  </w:r>
                </w:p>
              </w:tc>
            </w:tr>
            <w:tr>
              <w:tblPrEx>
                <w:tblCellMar>
                  <w:top w:w="0" w:type="dxa"/>
                  <w:left w:w="108" w:type="dxa"/>
                  <w:bottom w:w="0" w:type="dxa"/>
                  <w:right w:w="108" w:type="dxa"/>
                </w:tblCellMar>
              </w:tblPrEx>
              <w:trPr>
                <w:trHeight w:val="120"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5</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潘立琼</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合肥工业大学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计算机技术</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副教授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38</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计算机</w:t>
                  </w:r>
                  <w:r>
                    <w:rPr>
                      <w:rFonts w:ascii="仿宋" w:hAnsi="仿宋" w:eastAsia="仿宋"/>
                      <w:sz w:val="18"/>
                      <w:szCs w:val="18"/>
                    </w:rPr>
                    <w:t>程序设计</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6</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张健</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安徽农业大学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计算机技术</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副教授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42</w:t>
                  </w:r>
                </w:p>
              </w:tc>
              <w:tc>
                <w:tcPr>
                  <w:tcW w:w="1556" w:type="dxa"/>
                  <w:tcBorders>
                    <w:top w:val="nil"/>
                    <w:left w:val="nil"/>
                    <w:bottom w:val="single" w:color="auto" w:sz="4" w:space="0"/>
                    <w:right w:val="single" w:color="auto" w:sz="4" w:space="0"/>
                  </w:tcBorders>
                  <w:vAlign w:val="center"/>
                </w:tcPr>
                <w:p>
                  <w:pPr>
                    <w:jc w:val="left"/>
                    <w:rPr>
                      <w:rFonts w:ascii="仿宋" w:hAnsi="仿宋" w:eastAsia="仿宋"/>
                      <w:sz w:val="18"/>
                      <w:szCs w:val="18"/>
                    </w:rPr>
                  </w:pPr>
                  <w:r>
                    <w:rPr>
                      <w:rFonts w:hint="eastAsia" w:ascii="仿宋" w:hAnsi="仿宋" w:eastAsia="仿宋"/>
                      <w:sz w:val="18"/>
                      <w:szCs w:val="18"/>
                    </w:rPr>
                    <w:t>操作</w:t>
                  </w:r>
                  <w:r>
                    <w:rPr>
                      <w:rFonts w:ascii="仿宋" w:hAnsi="仿宋" w:eastAsia="仿宋"/>
                      <w:sz w:val="18"/>
                      <w:szCs w:val="18"/>
                    </w:rPr>
                    <w:t>系统</w:t>
                  </w:r>
                </w:p>
              </w:tc>
            </w:tr>
            <w:tr>
              <w:tblPrEx>
                <w:tblCellMar>
                  <w:top w:w="0" w:type="dxa"/>
                  <w:left w:w="108" w:type="dxa"/>
                  <w:bottom w:w="0" w:type="dxa"/>
                  <w:right w:w="108" w:type="dxa"/>
                </w:tblCellMar>
              </w:tblPrEx>
              <w:trPr>
                <w:trHeight w:val="361"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7</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吴宁</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合肥工业大学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39</w:t>
                  </w:r>
                </w:p>
              </w:tc>
              <w:tc>
                <w:tcPr>
                  <w:tcW w:w="1556" w:type="dxa"/>
                  <w:tcBorders>
                    <w:top w:val="nil"/>
                    <w:left w:val="nil"/>
                    <w:bottom w:val="single" w:color="auto" w:sz="4" w:space="0"/>
                    <w:right w:val="single" w:color="auto" w:sz="4" w:space="0"/>
                  </w:tcBorders>
                </w:tcPr>
                <w:p>
                  <w:pPr>
                    <w:jc w:val="left"/>
                    <w:rPr>
                      <w:rFonts w:ascii="仿宋" w:hAnsi="仿宋" w:eastAsia="仿宋" w:cs="宋体"/>
                      <w:sz w:val="18"/>
                      <w:szCs w:val="18"/>
                    </w:rPr>
                  </w:pPr>
                  <w:r>
                    <w:rPr>
                      <w:rFonts w:hint="eastAsia" w:ascii="仿宋" w:hAnsi="仿宋" w:eastAsia="仿宋"/>
                      <w:sz w:val="18"/>
                      <w:szCs w:val="18"/>
                    </w:rPr>
                    <w:t>软件项目管理、人机交互的软件工程方法</w:t>
                  </w:r>
                </w:p>
              </w:tc>
            </w:tr>
            <w:tr>
              <w:tblPrEx>
                <w:tblCellMar>
                  <w:top w:w="0" w:type="dxa"/>
                  <w:left w:w="108" w:type="dxa"/>
                  <w:bottom w:w="0" w:type="dxa"/>
                  <w:right w:w="108" w:type="dxa"/>
                </w:tblCellMar>
              </w:tblPrEx>
              <w:trPr>
                <w:trHeight w:val="594"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8</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朱苍璐</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广西大学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计算机技术</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27</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计算机专业英语、离散数学</w:t>
                  </w:r>
                </w:p>
              </w:tc>
            </w:tr>
            <w:tr>
              <w:tblPrEx>
                <w:tblCellMar>
                  <w:top w:w="0" w:type="dxa"/>
                  <w:left w:w="108" w:type="dxa"/>
                  <w:bottom w:w="0" w:type="dxa"/>
                  <w:right w:w="108" w:type="dxa"/>
                </w:tblCellMar>
              </w:tblPrEx>
              <w:trPr>
                <w:trHeight w:val="361"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9</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程锦</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微电子学</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33</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面向对象</w:t>
                  </w:r>
                  <w:r>
                    <w:rPr>
                      <w:rFonts w:ascii="仿宋" w:hAnsi="仿宋" w:eastAsia="仿宋"/>
                      <w:sz w:val="18"/>
                      <w:szCs w:val="18"/>
                    </w:rPr>
                    <w:t>程序设计</w:t>
                  </w:r>
                </w:p>
              </w:tc>
            </w:tr>
            <w:tr>
              <w:tblPrEx>
                <w:tblCellMar>
                  <w:top w:w="0" w:type="dxa"/>
                  <w:left w:w="108" w:type="dxa"/>
                  <w:bottom w:w="0" w:type="dxa"/>
                  <w:right w:w="108" w:type="dxa"/>
                </w:tblCellMar>
              </w:tblPrEx>
              <w:trPr>
                <w:trHeight w:val="120"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10</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杨小虎</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广西师范大学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计算机应用</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35</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数据库</w:t>
                  </w:r>
                  <w:r>
                    <w:rPr>
                      <w:rFonts w:ascii="仿宋" w:hAnsi="仿宋" w:eastAsia="仿宋"/>
                      <w:sz w:val="18"/>
                      <w:szCs w:val="18"/>
                    </w:rPr>
                    <w:t>概论</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11</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马秀博</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南开大学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计算机软件</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34</w:t>
                  </w:r>
                </w:p>
              </w:tc>
              <w:tc>
                <w:tcPr>
                  <w:tcW w:w="1556" w:type="dxa"/>
                  <w:tcBorders>
                    <w:top w:val="nil"/>
                    <w:left w:val="nil"/>
                    <w:bottom w:val="single" w:color="auto" w:sz="4" w:space="0"/>
                    <w:right w:val="single" w:color="auto" w:sz="4" w:space="0"/>
                  </w:tcBorders>
                  <w:vAlign w:val="center"/>
                </w:tcPr>
                <w:p>
                  <w:pPr>
                    <w:jc w:val="left"/>
                    <w:rPr>
                      <w:rFonts w:ascii="仿宋" w:hAnsi="仿宋" w:eastAsia="仿宋"/>
                      <w:sz w:val="18"/>
                      <w:szCs w:val="18"/>
                    </w:rPr>
                  </w:pPr>
                  <w:r>
                    <w:rPr>
                      <w:rFonts w:hint="eastAsia" w:ascii="仿宋" w:hAnsi="仿宋" w:eastAsia="仿宋"/>
                      <w:sz w:val="18"/>
                      <w:szCs w:val="18"/>
                    </w:rPr>
                    <w:t>计算机</w:t>
                  </w:r>
                  <w:r>
                    <w:rPr>
                      <w:rFonts w:ascii="仿宋" w:hAnsi="仿宋" w:eastAsia="仿宋"/>
                      <w:sz w:val="18"/>
                      <w:szCs w:val="18"/>
                    </w:rPr>
                    <w:t>系统基础</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12</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张文正</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中国科学技术大学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机械工程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38</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数字逻辑</w:t>
                  </w:r>
                  <w:r>
                    <w:rPr>
                      <w:rFonts w:ascii="仿宋" w:hAnsi="仿宋" w:eastAsia="仿宋"/>
                      <w:sz w:val="18"/>
                      <w:szCs w:val="18"/>
                    </w:rPr>
                    <w:t>实验</w:t>
                  </w:r>
                </w:p>
              </w:tc>
            </w:tr>
            <w:tr>
              <w:tblPrEx>
                <w:tblCellMar>
                  <w:top w:w="0" w:type="dxa"/>
                  <w:left w:w="108" w:type="dxa"/>
                  <w:bottom w:w="0" w:type="dxa"/>
                  <w:right w:w="108" w:type="dxa"/>
                </w:tblCellMar>
              </w:tblPrEx>
              <w:trPr>
                <w:trHeight w:val="120"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13</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朱守正</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山西大学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粒子物理技术</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讲师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33</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大学</w:t>
                  </w:r>
                  <w:r>
                    <w:rPr>
                      <w:rFonts w:ascii="仿宋" w:hAnsi="仿宋" w:eastAsia="仿宋"/>
                      <w:sz w:val="18"/>
                      <w:szCs w:val="18"/>
                    </w:rPr>
                    <w:t>物理实验</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14</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孙赟</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安徽建筑大学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应用物理学</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实验师</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本科</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34</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大学</w:t>
                  </w:r>
                  <w:r>
                    <w:rPr>
                      <w:rFonts w:ascii="仿宋" w:hAnsi="仿宋" w:eastAsia="仿宋"/>
                      <w:sz w:val="18"/>
                      <w:szCs w:val="18"/>
                    </w:rPr>
                    <w:t>物理实验</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15</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汪</w:t>
                  </w:r>
                  <w:r>
                    <w:rPr>
                      <w:rFonts w:ascii="仿宋" w:hAnsi="仿宋" w:eastAsia="仿宋"/>
                      <w:sz w:val="18"/>
                      <w:szCs w:val="18"/>
                    </w:rPr>
                    <w:t>月</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合肥工业大学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电气与通信工程</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助教</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30</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ascii="仿宋" w:hAnsi="仿宋" w:eastAsia="仿宋"/>
                      <w:sz w:val="18"/>
                      <w:szCs w:val="18"/>
                    </w:rPr>
                    <w:t>数字逻辑</w:t>
                  </w:r>
                  <w:r>
                    <w:rPr>
                      <w:rFonts w:hint="eastAsia" w:ascii="仿宋" w:hAnsi="仿宋" w:eastAsia="仿宋"/>
                      <w:sz w:val="18"/>
                      <w:szCs w:val="18"/>
                    </w:rPr>
                    <w:t>、</w:t>
                  </w:r>
                  <w:r>
                    <w:rPr>
                      <w:rFonts w:ascii="仿宋" w:hAnsi="仿宋" w:eastAsia="仿宋"/>
                      <w:sz w:val="18"/>
                      <w:szCs w:val="18"/>
                    </w:rPr>
                    <w:t>单片机应用</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16</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魏正松</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南昌大学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计算机应用</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助教</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33</w:t>
                  </w:r>
                </w:p>
              </w:tc>
              <w:tc>
                <w:tcPr>
                  <w:tcW w:w="1556" w:type="dxa"/>
                  <w:tcBorders>
                    <w:top w:val="nil"/>
                    <w:left w:val="nil"/>
                    <w:bottom w:val="single" w:color="auto" w:sz="4" w:space="0"/>
                    <w:right w:val="single" w:color="auto" w:sz="4" w:space="0"/>
                  </w:tcBorders>
                </w:tcPr>
                <w:p>
                  <w:pPr>
                    <w:jc w:val="left"/>
                    <w:rPr>
                      <w:rFonts w:ascii="仿宋" w:hAnsi="仿宋" w:eastAsia="仿宋"/>
                      <w:sz w:val="18"/>
                      <w:szCs w:val="18"/>
                    </w:rPr>
                  </w:pPr>
                  <w:r>
                    <w:rPr>
                      <w:rFonts w:ascii="仿宋" w:hAnsi="仿宋" w:eastAsia="仿宋"/>
                      <w:sz w:val="18"/>
                      <w:szCs w:val="18"/>
                    </w:rPr>
                    <w:t>软件质量保证与测试</w:t>
                  </w:r>
                </w:p>
              </w:tc>
            </w:tr>
            <w:tr>
              <w:tblPrEx>
                <w:tblCellMar>
                  <w:top w:w="0" w:type="dxa"/>
                  <w:left w:w="108" w:type="dxa"/>
                  <w:bottom w:w="0" w:type="dxa"/>
                  <w:right w:w="108" w:type="dxa"/>
                </w:tblCellMar>
              </w:tblPrEx>
              <w:trPr>
                <w:trHeight w:val="242" w:hRule="atLeast"/>
                <w:jc w:val="center"/>
              </w:trPr>
              <w:tc>
                <w:tcPr>
                  <w:tcW w:w="647" w:type="dxa"/>
                  <w:tcBorders>
                    <w:top w:val="nil"/>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17</w:t>
                  </w:r>
                </w:p>
              </w:tc>
              <w:tc>
                <w:tcPr>
                  <w:tcW w:w="81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何姗姗</w:t>
                  </w:r>
                </w:p>
              </w:tc>
              <w:tc>
                <w:tcPr>
                  <w:tcW w:w="172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安庆师范大学</w:t>
                  </w:r>
                </w:p>
              </w:tc>
              <w:tc>
                <w:tcPr>
                  <w:tcW w:w="15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统计学</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助教</w:t>
                  </w: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31</w:t>
                  </w:r>
                </w:p>
              </w:tc>
              <w:tc>
                <w:tcPr>
                  <w:tcW w:w="1556" w:type="dxa"/>
                  <w:tcBorders>
                    <w:top w:val="nil"/>
                    <w:left w:val="nil"/>
                    <w:bottom w:val="single" w:color="auto" w:sz="4" w:space="0"/>
                    <w:right w:val="single" w:color="auto" w:sz="4" w:space="0"/>
                  </w:tcBorders>
                  <w:vAlign w:val="center"/>
                </w:tcPr>
                <w:p>
                  <w:pPr>
                    <w:rPr>
                      <w:rFonts w:ascii="仿宋" w:hAnsi="仿宋" w:eastAsia="仿宋"/>
                      <w:sz w:val="18"/>
                      <w:szCs w:val="18"/>
                    </w:rPr>
                  </w:pPr>
                  <w:r>
                    <w:rPr>
                      <w:rFonts w:hint="eastAsia" w:ascii="仿宋" w:hAnsi="仿宋" w:eastAsia="仿宋"/>
                      <w:sz w:val="18"/>
                      <w:szCs w:val="18"/>
                    </w:rPr>
                    <w:t>系统</w:t>
                  </w:r>
                  <w:r>
                    <w:rPr>
                      <w:rFonts w:ascii="仿宋" w:hAnsi="仿宋" w:eastAsia="仿宋"/>
                      <w:sz w:val="18"/>
                      <w:szCs w:val="18"/>
                    </w:rPr>
                    <w:t>分析与建模</w:t>
                  </w:r>
                  <w:r>
                    <w:rPr>
                      <w:rFonts w:hint="eastAsia" w:ascii="仿宋" w:hAnsi="仿宋" w:eastAsia="仿宋"/>
                      <w:sz w:val="18"/>
                      <w:szCs w:val="18"/>
                    </w:rPr>
                    <w:t>、</w:t>
                  </w:r>
                  <w:r>
                    <w:rPr>
                      <w:rFonts w:ascii="仿宋" w:hAnsi="仿宋" w:eastAsia="仿宋"/>
                      <w:sz w:val="18"/>
                      <w:szCs w:val="18"/>
                    </w:rPr>
                    <w:t>人机交互软件工程方法</w:t>
                  </w:r>
                </w:p>
              </w:tc>
            </w:tr>
            <w:tr>
              <w:tblPrEx>
                <w:tblCellMar>
                  <w:top w:w="0" w:type="dxa"/>
                  <w:left w:w="108" w:type="dxa"/>
                  <w:bottom w:w="0" w:type="dxa"/>
                  <w:right w:w="108" w:type="dxa"/>
                </w:tblCellMar>
              </w:tblPrEx>
              <w:trPr>
                <w:trHeight w:val="242"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18</w:t>
                  </w:r>
                </w:p>
              </w:tc>
              <w:tc>
                <w:tcPr>
                  <w:tcW w:w="81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梁月放</w:t>
                  </w:r>
                </w:p>
              </w:tc>
              <w:tc>
                <w:tcPr>
                  <w:tcW w:w="172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合肥工业大学</w:t>
                  </w:r>
                </w:p>
              </w:tc>
              <w:tc>
                <w:tcPr>
                  <w:tcW w:w="15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计算机科学与技术</w:t>
                  </w:r>
                </w:p>
              </w:tc>
              <w:tc>
                <w:tcPr>
                  <w:tcW w:w="7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助教</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硕士</w:t>
                  </w:r>
                </w:p>
              </w:tc>
              <w:tc>
                <w:tcPr>
                  <w:tcW w:w="6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31</w:t>
                  </w:r>
                </w:p>
              </w:tc>
              <w:tc>
                <w:tcPr>
                  <w:tcW w:w="1556" w:type="dxa"/>
                  <w:tcBorders>
                    <w:top w:val="single" w:color="auto" w:sz="4" w:space="0"/>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单片机原理及应用</w:t>
                  </w:r>
                </w:p>
              </w:tc>
            </w:tr>
            <w:tr>
              <w:tblPrEx>
                <w:tblCellMar>
                  <w:top w:w="0" w:type="dxa"/>
                  <w:left w:w="108" w:type="dxa"/>
                  <w:bottom w:w="0" w:type="dxa"/>
                  <w:right w:w="108" w:type="dxa"/>
                </w:tblCellMar>
              </w:tblPrEx>
              <w:trPr>
                <w:trHeight w:val="1004"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19</w:t>
                  </w:r>
                </w:p>
              </w:tc>
              <w:tc>
                <w:tcPr>
                  <w:tcW w:w="81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凌</w:t>
                  </w:r>
                  <w:r>
                    <w:rPr>
                      <w:rFonts w:ascii="仿宋" w:hAnsi="仿宋" w:eastAsia="仿宋"/>
                      <w:sz w:val="18"/>
                      <w:szCs w:val="18"/>
                    </w:rPr>
                    <w:t>源</w:t>
                  </w:r>
                </w:p>
              </w:tc>
              <w:tc>
                <w:tcPr>
                  <w:tcW w:w="172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安徽科工机电智能工程有限公司</w:t>
                  </w:r>
                </w:p>
              </w:tc>
              <w:tc>
                <w:tcPr>
                  <w:tcW w:w="15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软件工程</w:t>
                  </w:r>
                </w:p>
              </w:tc>
              <w:tc>
                <w:tcPr>
                  <w:tcW w:w="7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高工</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45</w:t>
                  </w:r>
                </w:p>
              </w:tc>
              <w:tc>
                <w:tcPr>
                  <w:tcW w:w="1556" w:type="dxa"/>
                  <w:tcBorders>
                    <w:top w:val="single" w:color="auto" w:sz="4" w:space="0"/>
                    <w:left w:val="nil"/>
                    <w:bottom w:val="single" w:color="auto" w:sz="4" w:space="0"/>
                    <w:right w:val="single" w:color="auto" w:sz="4" w:space="0"/>
                  </w:tcBorders>
                </w:tcPr>
                <w:p>
                  <w:pPr>
                    <w:jc w:val="left"/>
                    <w:rPr>
                      <w:rFonts w:ascii="仿宋" w:hAnsi="仿宋" w:eastAsia="仿宋"/>
                      <w:sz w:val="18"/>
                      <w:szCs w:val="18"/>
                    </w:rPr>
                  </w:pPr>
                </w:p>
                <w:p>
                  <w:pPr>
                    <w:jc w:val="left"/>
                    <w:rPr>
                      <w:rFonts w:ascii="仿宋" w:hAnsi="仿宋" w:eastAsia="仿宋"/>
                      <w:sz w:val="18"/>
                      <w:szCs w:val="18"/>
                    </w:rPr>
                  </w:pPr>
                  <w:r>
                    <w:rPr>
                      <w:rFonts w:ascii="仿宋" w:hAnsi="仿宋" w:eastAsia="仿宋"/>
                      <w:sz w:val="18"/>
                      <w:szCs w:val="18"/>
                    </w:rPr>
                    <w:t>软件项目管理</w:t>
                  </w:r>
                  <w:r>
                    <w:rPr>
                      <w:rFonts w:hint="eastAsia" w:ascii="仿宋" w:hAnsi="仿宋" w:eastAsia="仿宋"/>
                      <w:sz w:val="18"/>
                      <w:szCs w:val="18"/>
                    </w:rPr>
                    <w:t>、</w:t>
                  </w:r>
                  <w:r>
                    <w:rPr>
                      <w:rFonts w:ascii="仿宋" w:hAnsi="仿宋" w:eastAsia="仿宋"/>
                      <w:sz w:val="18"/>
                      <w:szCs w:val="18"/>
                    </w:rPr>
                    <w:t>系统分析与建模</w:t>
                  </w:r>
                </w:p>
              </w:tc>
            </w:tr>
            <w:tr>
              <w:tblPrEx>
                <w:tblCellMar>
                  <w:top w:w="0" w:type="dxa"/>
                  <w:left w:w="108" w:type="dxa"/>
                  <w:bottom w:w="0" w:type="dxa"/>
                  <w:right w:w="108" w:type="dxa"/>
                </w:tblCellMar>
              </w:tblPrEx>
              <w:trPr>
                <w:trHeight w:val="242"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w:t>
                  </w:r>
                </w:p>
              </w:tc>
              <w:tc>
                <w:tcPr>
                  <w:tcW w:w="81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邹</w:t>
                  </w:r>
                  <w:r>
                    <w:rPr>
                      <w:rFonts w:ascii="仿宋" w:hAnsi="仿宋" w:eastAsia="仿宋"/>
                      <w:sz w:val="18"/>
                      <w:szCs w:val="18"/>
                    </w:rPr>
                    <w:t>娇</w:t>
                  </w:r>
                </w:p>
              </w:tc>
              <w:tc>
                <w:tcPr>
                  <w:tcW w:w="172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安徽四创电子股份有限公司</w:t>
                  </w:r>
                </w:p>
              </w:tc>
              <w:tc>
                <w:tcPr>
                  <w:tcW w:w="15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计算机技术</w:t>
                  </w:r>
                </w:p>
              </w:tc>
              <w:tc>
                <w:tcPr>
                  <w:tcW w:w="7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高工</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37</w:t>
                  </w:r>
                </w:p>
              </w:tc>
              <w:tc>
                <w:tcPr>
                  <w:tcW w:w="1556" w:type="dxa"/>
                  <w:tcBorders>
                    <w:top w:val="single" w:color="auto" w:sz="4" w:space="0"/>
                    <w:left w:val="nil"/>
                    <w:bottom w:val="single" w:color="auto" w:sz="4" w:space="0"/>
                    <w:right w:val="single" w:color="auto" w:sz="4" w:space="0"/>
                  </w:tcBorders>
                </w:tcPr>
                <w:p>
                  <w:pPr>
                    <w:jc w:val="left"/>
                    <w:rPr>
                      <w:rFonts w:ascii="仿宋" w:hAnsi="仿宋" w:eastAsia="仿宋"/>
                      <w:sz w:val="18"/>
                      <w:szCs w:val="18"/>
                    </w:rPr>
                  </w:pPr>
                  <w:r>
                    <w:rPr>
                      <w:rFonts w:ascii="仿宋" w:hAnsi="仿宋" w:eastAsia="仿宋"/>
                      <w:sz w:val="18"/>
                      <w:szCs w:val="18"/>
                    </w:rPr>
                    <w:t>软件工程职业实践</w:t>
                  </w:r>
                </w:p>
              </w:tc>
            </w:tr>
            <w:tr>
              <w:tblPrEx>
                <w:tblCellMar>
                  <w:top w:w="0" w:type="dxa"/>
                  <w:left w:w="108" w:type="dxa"/>
                  <w:bottom w:w="0" w:type="dxa"/>
                  <w:right w:w="108" w:type="dxa"/>
                </w:tblCellMar>
              </w:tblPrEx>
              <w:trPr>
                <w:trHeight w:val="404"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21</w:t>
                  </w:r>
                </w:p>
              </w:tc>
              <w:tc>
                <w:tcPr>
                  <w:tcW w:w="81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周经文</w:t>
                  </w:r>
                </w:p>
              </w:tc>
              <w:tc>
                <w:tcPr>
                  <w:tcW w:w="172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安徽中际国安科技有限公司</w:t>
                  </w:r>
                </w:p>
              </w:tc>
              <w:tc>
                <w:tcPr>
                  <w:tcW w:w="15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通信工程</w:t>
                  </w:r>
                </w:p>
              </w:tc>
              <w:tc>
                <w:tcPr>
                  <w:tcW w:w="7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工程师</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38</w:t>
                  </w:r>
                </w:p>
              </w:tc>
              <w:tc>
                <w:tcPr>
                  <w:tcW w:w="1556" w:type="dxa"/>
                  <w:tcBorders>
                    <w:top w:val="single" w:color="auto" w:sz="4" w:space="0"/>
                    <w:left w:val="nil"/>
                    <w:bottom w:val="single" w:color="auto" w:sz="4" w:space="0"/>
                    <w:right w:val="single" w:color="auto" w:sz="4" w:space="0"/>
                  </w:tcBorders>
                </w:tcPr>
                <w:p>
                  <w:pPr>
                    <w:jc w:val="left"/>
                    <w:rPr>
                      <w:rFonts w:ascii="仿宋" w:hAnsi="仿宋" w:eastAsia="仿宋"/>
                      <w:sz w:val="18"/>
                      <w:szCs w:val="18"/>
                    </w:rPr>
                  </w:pPr>
                  <w:r>
                    <w:rPr>
                      <w:rFonts w:hint="eastAsia" w:ascii="仿宋" w:hAnsi="仿宋" w:eastAsia="仿宋"/>
                      <w:sz w:val="18"/>
                      <w:szCs w:val="18"/>
                    </w:rPr>
                    <w:t>J2SE、UML</w:t>
                  </w:r>
                </w:p>
              </w:tc>
            </w:tr>
            <w:tr>
              <w:tblPrEx>
                <w:tblCellMar>
                  <w:top w:w="0" w:type="dxa"/>
                  <w:left w:w="108" w:type="dxa"/>
                  <w:bottom w:w="0" w:type="dxa"/>
                  <w:right w:w="108" w:type="dxa"/>
                </w:tblCellMar>
              </w:tblPrEx>
              <w:trPr>
                <w:trHeight w:val="242"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22</w:t>
                  </w:r>
                </w:p>
              </w:tc>
              <w:tc>
                <w:tcPr>
                  <w:tcW w:w="81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徐善功</w:t>
                  </w:r>
                </w:p>
              </w:tc>
              <w:tc>
                <w:tcPr>
                  <w:tcW w:w="172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北大青鸟</w:t>
                  </w:r>
                </w:p>
              </w:tc>
              <w:tc>
                <w:tcPr>
                  <w:tcW w:w="15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软件工程</w:t>
                  </w:r>
                </w:p>
              </w:tc>
              <w:tc>
                <w:tcPr>
                  <w:tcW w:w="76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工程师</w:t>
                  </w:r>
                </w:p>
              </w:tc>
              <w:tc>
                <w:tcPr>
                  <w:tcW w:w="60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ascii="仿宋" w:hAnsi="仿宋" w:eastAsia="仿宋"/>
                      <w:sz w:val="18"/>
                      <w:szCs w:val="18"/>
                    </w:rPr>
                    <w:t>硕士</w:t>
                  </w:r>
                </w:p>
              </w:tc>
              <w:tc>
                <w:tcPr>
                  <w:tcW w:w="645"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34</w:t>
                  </w:r>
                </w:p>
              </w:tc>
              <w:tc>
                <w:tcPr>
                  <w:tcW w:w="1556" w:type="dxa"/>
                  <w:tcBorders>
                    <w:top w:val="single" w:color="auto" w:sz="4" w:space="0"/>
                    <w:left w:val="nil"/>
                    <w:bottom w:val="single" w:color="auto" w:sz="4" w:space="0"/>
                    <w:right w:val="single" w:color="auto" w:sz="4" w:space="0"/>
                  </w:tcBorders>
                </w:tcPr>
                <w:p>
                  <w:pPr>
                    <w:jc w:val="left"/>
                    <w:rPr>
                      <w:rFonts w:ascii="仿宋" w:hAnsi="仿宋" w:eastAsia="仿宋"/>
                      <w:sz w:val="18"/>
                      <w:szCs w:val="18"/>
                    </w:rPr>
                  </w:pPr>
                  <w:r>
                    <w:rPr>
                      <w:rFonts w:ascii="仿宋" w:hAnsi="仿宋" w:eastAsia="仿宋"/>
                      <w:sz w:val="18"/>
                      <w:szCs w:val="18"/>
                    </w:rPr>
                    <w:t>软件构造等</w:t>
                  </w:r>
                </w:p>
              </w:tc>
            </w:tr>
          </w:tbl>
          <w:p>
            <w:pPr>
              <w:spacing w:line="400" w:lineRule="exact"/>
              <w:rPr>
                <w:rFonts w:ascii="宋体" w:hAnsi="宋体"/>
                <w:b/>
                <w:szCs w:val="21"/>
              </w:rPr>
            </w:pPr>
          </w:p>
          <w:p>
            <w:pPr>
              <w:spacing w:line="400" w:lineRule="exact"/>
              <w:jc w:val="center"/>
              <w:rPr>
                <w:rFonts w:ascii="宋体" w:hAnsi="宋体"/>
                <w:b/>
                <w:szCs w:val="21"/>
              </w:rPr>
            </w:pPr>
            <w:r>
              <w:rPr>
                <w:rFonts w:hint="eastAsia" w:ascii="宋体" w:hAnsi="宋体"/>
                <w:b/>
                <w:szCs w:val="21"/>
              </w:rPr>
              <w:t>表2</w:t>
            </w:r>
            <w:r>
              <w:rPr>
                <w:rFonts w:ascii="宋体" w:hAnsi="宋体"/>
                <w:b/>
                <w:szCs w:val="21"/>
              </w:rPr>
              <w:t xml:space="preserve"> </w:t>
            </w:r>
            <w:r>
              <w:rPr>
                <w:rFonts w:hint="eastAsia" w:ascii="宋体" w:hAnsi="宋体"/>
                <w:b/>
                <w:szCs w:val="21"/>
              </w:rPr>
              <w:t xml:space="preserve"> 软件工程专业师资队伍职称、学历和年龄结构</w:t>
            </w:r>
          </w:p>
          <w:tbl>
            <w:tblPr>
              <w:tblStyle w:val="6"/>
              <w:tblW w:w="828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2"/>
              <w:gridCol w:w="765"/>
              <w:gridCol w:w="735"/>
              <w:gridCol w:w="690"/>
              <w:gridCol w:w="660"/>
              <w:gridCol w:w="825"/>
              <w:gridCol w:w="735"/>
              <w:gridCol w:w="975"/>
              <w:gridCol w:w="1245"/>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trPr>
              <w:tc>
                <w:tcPr>
                  <w:tcW w:w="602" w:type="dxa"/>
                  <w:vMerge w:val="restart"/>
                  <w:vAlign w:val="center"/>
                </w:tcPr>
                <w:p>
                  <w:pPr>
                    <w:jc w:val="center"/>
                    <w:rPr>
                      <w:rFonts w:ascii="仿宋" w:hAnsi="仿宋" w:eastAsia="仿宋" w:cs="宋体"/>
                      <w:sz w:val="18"/>
                      <w:szCs w:val="18"/>
                    </w:rPr>
                  </w:pPr>
                  <w:r>
                    <w:rPr>
                      <w:rFonts w:hint="eastAsia" w:ascii="仿宋" w:hAnsi="仿宋" w:eastAsia="仿宋" w:cs="宋体"/>
                      <w:sz w:val="18"/>
                      <w:szCs w:val="18"/>
                    </w:rPr>
                    <w:t>总数</w:t>
                  </w:r>
                </w:p>
                <w:p>
                  <w:pPr>
                    <w:jc w:val="center"/>
                    <w:rPr>
                      <w:rFonts w:ascii="仿宋" w:hAnsi="仿宋" w:eastAsia="仿宋"/>
                      <w:color w:val="FF0000"/>
                      <w:sz w:val="18"/>
                      <w:szCs w:val="18"/>
                    </w:rPr>
                  </w:pPr>
                  <w:r>
                    <w:rPr>
                      <w:rFonts w:hint="eastAsia" w:ascii="仿宋" w:hAnsi="仿宋" w:eastAsia="仿宋" w:cs="宋体"/>
                      <w:sz w:val="18"/>
                      <w:szCs w:val="18"/>
                    </w:rPr>
                    <w:t>22人</w:t>
                  </w:r>
                </w:p>
              </w:tc>
              <w:tc>
                <w:tcPr>
                  <w:tcW w:w="2190" w:type="dxa"/>
                  <w:gridSpan w:val="3"/>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职称结构</w:t>
                  </w:r>
                </w:p>
              </w:tc>
              <w:tc>
                <w:tcPr>
                  <w:tcW w:w="2220" w:type="dxa"/>
                  <w:gridSpan w:val="3"/>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学历结构</w:t>
                  </w:r>
                </w:p>
              </w:tc>
              <w:tc>
                <w:tcPr>
                  <w:tcW w:w="3270" w:type="dxa"/>
                  <w:gridSpan w:val="3"/>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年龄结构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 w:hRule="atLeast"/>
              </w:trPr>
              <w:tc>
                <w:tcPr>
                  <w:tcW w:w="602" w:type="dxa"/>
                  <w:vMerge w:val="continue"/>
                  <w:vAlign w:val="center"/>
                </w:tcPr>
                <w:p>
                  <w:pPr>
                    <w:widowControl/>
                    <w:spacing w:line="400" w:lineRule="exact"/>
                    <w:jc w:val="center"/>
                    <w:rPr>
                      <w:rFonts w:ascii="仿宋" w:hAnsi="仿宋" w:eastAsia="仿宋"/>
                      <w:color w:val="FF0000"/>
                      <w:sz w:val="18"/>
                      <w:szCs w:val="18"/>
                    </w:rPr>
                  </w:pPr>
                </w:p>
              </w:tc>
              <w:tc>
                <w:tcPr>
                  <w:tcW w:w="765"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高级</w:t>
                  </w:r>
                </w:p>
              </w:tc>
              <w:tc>
                <w:tcPr>
                  <w:tcW w:w="735"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中级</w:t>
                  </w:r>
                </w:p>
              </w:tc>
              <w:tc>
                <w:tcPr>
                  <w:tcW w:w="690"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初级</w:t>
                  </w:r>
                </w:p>
              </w:tc>
              <w:tc>
                <w:tcPr>
                  <w:tcW w:w="660"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博士</w:t>
                  </w:r>
                </w:p>
              </w:tc>
              <w:tc>
                <w:tcPr>
                  <w:tcW w:w="825"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硕士</w:t>
                  </w:r>
                </w:p>
              </w:tc>
              <w:tc>
                <w:tcPr>
                  <w:tcW w:w="735" w:type="dxa"/>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学士</w:t>
                  </w:r>
                </w:p>
              </w:tc>
              <w:tc>
                <w:tcPr>
                  <w:tcW w:w="975" w:type="dxa"/>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45岁以上</w:t>
                  </w:r>
                </w:p>
              </w:tc>
              <w:tc>
                <w:tcPr>
                  <w:tcW w:w="1245" w:type="dxa"/>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35-45岁</w:t>
                  </w:r>
                </w:p>
              </w:tc>
              <w:tc>
                <w:tcPr>
                  <w:tcW w:w="1050" w:type="dxa"/>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35岁以下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 w:hRule="atLeast"/>
              </w:trPr>
              <w:tc>
                <w:tcPr>
                  <w:tcW w:w="602" w:type="dxa"/>
                  <w:vMerge w:val="continue"/>
                  <w:vAlign w:val="center"/>
                </w:tcPr>
                <w:p>
                  <w:pPr>
                    <w:widowControl/>
                    <w:spacing w:line="400" w:lineRule="exact"/>
                    <w:jc w:val="center"/>
                    <w:rPr>
                      <w:rFonts w:ascii="仿宋" w:hAnsi="仿宋" w:eastAsia="仿宋"/>
                      <w:color w:val="FF0000"/>
                      <w:sz w:val="18"/>
                      <w:szCs w:val="18"/>
                    </w:rPr>
                  </w:pPr>
                </w:p>
              </w:tc>
              <w:tc>
                <w:tcPr>
                  <w:tcW w:w="765" w:type="dxa"/>
                  <w:vAlign w:val="center"/>
                </w:tcPr>
                <w:p>
                  <w:pPr>
                    <w:jc w:val="center"/>
                    <w:rPr>
                      <w:sz w:val="18"/>
                      <w:szCs w:val="18"/>
                    </w:rPr>
                  </w:pPr>
                  <w:r>
                    <w:rPr>
                      <w:rFonts w:hint="eastAsia"/>
                      <w:sz w:val="18"/>
                      <w:szCs w:val="18"/>
                    </w:rPr>
                    <w:t>8</w:t>
                  </w:r>
                </w:p>
              </w:tc>
              <w:tc>
                <w:tcPr>
                  <w:tcW w:w="735" w:type="dxa"/>
                  <w:vAlign w:val="center"/>
                </w:tcPr>
                <w:p>
                  <w:pPr>
                    <w:jc w:val="center"/>
                    <w:rPr>
                      <w:sz w:val="18"/>
                      <w:szCs w:val="18"/>
                    </w:rPr>
                  </w:pPr>
                  <w:r>
                    <w:rPr>
                      <w:rFonts w:hint="eastAsia"/>
                      <w:sz w:val="18"/>
                      <w:szCs w:val="18"/>
                    </w:rPr>
                    <w:t>10</w:t>
                  </w:r>
                </w:p>
              </w:tc>
              <w:tc>
                <w:tcPr>
                  <w:tcW w:w="690" w:type="dxa"/>
                  <w:vAlign w:val="center"/>
                </w:tcPr>
                <w:p>
                  <w:pPr>
                    <w:jc w:val="center"/>
                    <w:rPr>
                      <w:sz w:val="18"/>
                      <w:szCs w:val="18"/>
                    </w:rPr>
                  </w:pPr>
                  <w:r>
                    <w:rPr>
                      <w:rFonts w:hint="eastAsia"/>
                      <w:sz w:val="18"/>
                      <w:szCs w:val="18"/>
                    </w:rPr>
                    <w:t>4</w:t>
                  </w:r>
                </w:p>
              </w:tc>
              <w:tc>
                <w:tcPr>
                  <w:tcW w:w="660" w:type="dxa"/>
                  <w:vAlign w:val="center"/>
                </w:tcPr>
                <w:p>
                  <w:pPr>
                    <w:jc w:val="center"/>
                    <w:rPr>
                      <w:sz w:val="18"/>
                      <w:szCs w:val="18"/>
                    </w:rPr>
                  </w:pPr>
                  <w:r>
                    <w:rPr>
                      <w:rFonts w:hint="eastAsia"/>
                      <w:sz w:val="18"/>
                      <w:szCs w:val="18"/>
                    </w:rPr>
                    <w:t>0</w:t>
                  </w:r>
                </w:p>
              </w:tc>
              <w:tc>
                <w:tcPr>
                  <w:tcW w:w="825" w:type="dxa"/>
                  <w:vAlign w:val="center"/>
                </w:tcPr>
                <w:p>
                  <w:pPr>
                    <w:jc w:val="center"/>
                    <w:rPr>
                      <w:sz w:val="18"/>
                      <w:szCs w:val="18"/>
                    </w:rPr>
                  </w:pPr>
                  <w:r>
                    <w:rPr>
                      <w:rFonts w:hint="eastAsia"/>
                      <w:sz w:val="18"/>
                      <w:szCs w:val="18"/>
                    </w:rPr>
                    <w:t>20</w:t>
                  </w:r>
                </w:p>
              </w:tc>
              <w:tc>
                <w:tcPr>
                  <w:tcW w:w="735" w:type="dxa"/>
                  <w:vAlign w:val="center"/>
                </w:tcPr>
                <w:p>
                  <w:pPr>
                    <w:jc w:val="center"/>
                    <w:rPr>
                      <w:sz w:val="18"/>
                      <w:szCs w:val="18"/>
                    </w:rPr>
                  </w:pPr>
                  <w:r>
                    <w:rPr>
                      <w:rFonts w:hint="eastAsia"/>
                      <w:sz w:val="18"/>
                      <w:szCs w:val="18"/>
                    </w:rPr>
                    <w:t>2</w:t>
                  </w:r>
                </w:p>
              </w:tc>
              <w:tc>
                <w:tcPr>
                  <w:tcW w:w="975" w:type="dxa"/>
                </w:tcPr>
                <w:p>
                  <w:pPr>
                    <w:jc w:val="center"/>
                    <w:rPr>
                      <w:sz w:val="18"/>
                      <w:szCs w:val="18"/>
                    </w:rPr>
                  </w:pPr>
                  <w:r>
                    <w:rPr>
                      <w:rFonts w:hint="eastAsia"/>
                      <w:sz w:val="18"/>
                      <w:szCs w:val="18"/>
                    </w:rPr>
                    <w:t>2</w:t>
                  </w:r>
                </w:p>
              </w:tc>
              <w:tc>
                <w:tcPr>
                  <w:tcW w:w="1245" w:type="dxa"/>
                </w:tcPr>
                <w:p>
                  <w:pPr>
                    <w:jc w:val="center"/>
                    <w:rPr>
                      <w:sz w:val="18"/>
                      <w:szCs w:val="18"/>
                    </w:rPr>
                  </w:pPr>
                  <w:r>
                    <w:rPr>
                      <w:rFonts w:hint="eastAsia"/>
                      <w:sz w:val="18"/>
                      <w:szCs w:val="18"/>
                    </w:rPr>
                    <w:t>10</w:t>
                  </w:r>
                </w:p>
              </w:tc>
              <w:tc>
                <w:tcPr>
                  <w:tcW w:w="1050" w:type="dxa"/>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trPr>
              <w:tc>
                <w:tcPr>
                  <w:tcW w:w="602" w:type="dxa"/>
                  <w:vAlign w:val="center"/>
                </w:tcPr>
                <w:p>
                  <w:pPr>
                    <w:widowControl/>
                    <w:spacing w:line="400" w:lineRule="exact"/>
                    <w:jc w:val="center"/>
                    <w:rPr>
                      <w:rFonts w:ascii="仿宋" w:hAnsi="仿宋" w:eastAsia="仿宋"/>
                      <w:color w:val="FF0000"/>
                      <w:sz w:val="18"/>
                      <w:szCs w:val="18"/>
                    </w:rPr>
                  </w:pPr>
                  <w:r>
                    <w:rPr>
                      <w:rFonts w:hint="eastAsia" w:ascii="仿宋" w:hAnsi="仿宋" w:eastAsia="仿宋" w:cs="宋体"/>
                      <w:kern w:val="0"/>
                      <w:sz w:val="18"/>
                      <w:szCs w:val="18"/>
                    </w:rPr>
                    <w:t>比例</w:t>
                  </w:r>
                </w:p>
              </w:tc>
              <w:tc>
                <w:tcPr>
                  <w:tcW w:w="765" w:type="dxa"/>
                  <w:vAlign w:val="center"/>
                </w:tcPr>
                <w:p>
                  <w:pPr>
                    <w:jc w:val="center"/>
                    <w:rPr>
                      <w:sz w:val="18"/>
                      <w:szCs w:val="18"/>
                    </w:rPr>
                  </w:pPr>
                  <w:r>
                    <w:rPr>
                      <w:rFonts w:hint="eastAsia"/>
                      <w:sz w:val="18"/>
                      <w:szCs w:val="18"/>
                    </w:rPr>
                    <w:t>36.3%</w:t>
                  </w:r>
                </w:p>
              </w:tc>
              <w:tc>
                <w:tcPr>
                  <w:tcW w:w="735" w:type="dxa"/>
                  <w:vAlign w:val="center"/>
                </w:tcPr>
                <w:p>
                  <w:pPr>
                    <w:jc w:val="center"/>
                    <w:rPr>
                      <w:rFonts w:hint="eastAsia" w:eastAsia="宋体"/>
                      <w:sz w:val="18"/>
                      <w:szCs w:val="18"/>
                      <w:lang w:val="en-US" w:eastAsia="zh-CN"/>
                    </w:rPr>
                  </w:pPr>
                  <w:r>
                    <w:rPr>
                      <w:rFonts w:hint="eastAsia"/>
                      <w:sz w:val="18"/>
                      <w:szCs w:val="18"/>
                    </w:rPr>
                    <w:t>45.5</w:t>
                  </w:r>
                  <w:r>
                    <w:rPr>
                      <w:rFonts w:hint="eastAsia"/>
                      <w:sz w:val="18"/>
                      <w:szCs w:val="18"/>
                      <w:lang w:val="en-US" w:eastAsia="zh-CN"/>
                    </w:rPr>
                    <w:t>%</w:t>
                  </w:r>
                </w:p>
              </w:tc>
              <w:tc>
                <w:tcPr>
                  <w:tcW w:w="690" w:type="dxa"/>
                  <w:vAlign w:val="center"/>
                </w:tcPr>
                <w:p>
                  <w:pPr>
                    <w:jc w:val="center"/>
                    <w:rPr>
                      <w:rFonts w:hint="eastAsia" w:eastAsia="宋体"/>
                      <w:sz w:val="18"/>
                      <w:szCs w:val="18"/>
                      <w:lang w:val="en-US" w:eastAsia="zh-CN"/>
                    </w:rPr>
                  </w:pPr>
                  <w:r>
                    <w:rPr>
                      <w:rFonts w:hint="eastAsia"/>
                      <w:sz w:val="18"/>
                      <w:szCs w:val="18"/>
                    </w:rPr>
                    <w:t>18.2</w:t>
                  </w:r>
                  <w:r>
                    <w:rPr>
                      <w:rFonts w:hint="eastAsia"/>
                      <w:sz w:val="18"/>
                      <w:szCs w:val="18"/>
                      <w:lang w:val="en-US" w:eastAsia="zh-CN"/>
                    </w:rPr>
                    <w:t>%</w:t>
                  </w:r>
                </w:p>
              </w:tc>
              <w:tc>
                <w:tcPr>
                  <w:tcW w:w="660" w:type="dxa"/>
                  <w:vAlign w:val="center"/>
                </w:tcPr>
                <w:p>
                  <w:pPr>
                    <w:jc w:val="center"/>
                    <w:rPr>
                      <w:sz w:val="18"/>
                      <w:szCs w:val="18"/>
                    </w:rPr>
                  </w:pPr>
                  <w:r>
                    <w:rPr>
                      <w:rFonts w:hint="eastAsia"/>
                      <w:sz w:val="18"/>
                      <w:szCs w:val="18"/>
                    </w:rPr>
                    <w:t>0</w:t>
                  </w:r>
                </w:p>
              </w:tc>
              <w:tc>
                <w:tcPr>
                  <w:tcW w:w="825" w:type="dxa"/>
                  <w:vAlign w:val="center"/>
                </w:tcPr>
                <w:p>
                  <w:pPr>
                    <w:jc w:val="center"/>
                    <w:rPr>
                      <w:sz w:val="18"/>
                      <w:szCs w:val="18"/>
                    </w:rPr>
                  </w:pPr>
                  <w:r>
                    <w:rPr>
                      <w:rFonts w:hint="eastAsia"/>
                      <w:sz w:val="18"/>
                      <w:szCs w:val="18"/>
                    </w:rPr>
                    <w:t>90.9%</w:t>
                  </w:r>
                </w:p>
              </w:tc>
              <w:tc>
                <w:tcPr>
                  <w:tcW w:w="735" w:type="dxa"/>
                  <w:vAlign w:val="center"/>
                </w:tcPr>
                <w:p>
                  <w:pPr>
                    <w:jc w:val="center"/>
                    <w:rPr>
                      <w:sz w:val="18"/>
                      <w:szCs w:val="18"/>
                    </w:rPr>
                  </w:pPr>
                  <w:r>
                    <w:rPr>
                      <w:rFonts w:hint="eastAsia"/>
                      <w:sz w:val="18"/>
                      <w:szCs w:val="18"/>
                    </w:rPr>
                    <w:t>9.1%</w:t>
                  </w:r>
                </w:p>
              </w:tc>
              <w:tc>
                <w:tcPr>
                  <w:tcW w:w="975" w:type="dxa"/>
                  <w:vAlign w:val="center"/>
                </w:tcPr>
                <w:p>
                  <w:pPr>
                    <w:jc w:val="center"/>
                    <w:rPr>
                      <w:sz w:val="18"/>
                      <w:szCs w:val="18"/>
                    </w:rPr>
                  </w:pPr>
                  <w:r>
                    <w:rPr>
                      <w:rFonts w:hint="eastAsia"/>
                      <w:sz w:val="18"/>
                      <w:szCs w:val="18"/>
                    </w:rPr>
                    <w:t>9%</w:t>
                  </w:r>
                </w:p>
              </w:tc>
              <w:tc>
                <w:tcPr>
                  <w:tcW w:w="1245" w:type="dxa"/>
                  <w:vAlign w:val="center"/>
                </w:tcPr>
                <w:p>
                  <w:pPr>
                    <w:jc w:val="center"/>
                    <w:rPr>
                      <w:sz w:val="18"/>
                      <w:szCs w:val="18"/>
                    </w:rPr>
                  </w:pPr>
                  <w:r>
                    <w:rPr>
                      <w:rFonts w:hint="eastAsia"/>
                      <w:sz w:val="18"/>
                      <w:szCs w:val="18"/>
                    </w:rPr>
                    <w:t>45.5%</w:t>
                  </w:r>
                </w:p>
              </w:tc>
              <w:tc>
                <w:tcPr>
                  <w:tcW w:w="1050" w:type="dxa"/>
                  <w:vAlign w:val="center"/>
                </w:tcPr>
                <w:p>
                  <w:pPr>
                    <w:jc w:val="center"/>
                    <w:rPr>
                      <w:sz w:val="18"/>
                      <w:szCs w:val="18"/>
                    </w:rPr>
                  </w:pPr>
                  <w:r>
                    <w:rPr>
                      <w:rFonts w:hint="eastAsia"/>
                      <w:sz w:val="18"/>
                      <w:szCs w:val="18"/>
                    </w:rPr>
                    <w:t>45.5%</w:t>
                  </w:r>
                </w:p>
              </w:tc>
            </w:tr>
          </w:tbl>
          <w:p>
            <w:pPr>
              <w:adjustRightInd w:val="0"/>
              <w:snapToGrid w:val="0"/>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经过四年的建设，现已形成具有一定职称结构和学历层次的教师梯队，师资队伍整体结构较为合理，发展趋势良好，能够满足本学科建设和应用型人才培养的需要。</w:t>
            </w:r>
          </w:p>
          <w:p>
            <w:pPr>
              <w:widowControl/>
              <w:spacing w:line="400" w:lineRule="exact"/>
              <w:ind w:firstLine="422" w:firstLineChars="200"/>
              <w:rPr>
                <w:rFonts w:ascii="宋体" w:hAnsi="宋体" w:cs="宋体"/>
                <w:b/>
                <w:szCs w:val="21"/>
              </w:rPr>
            </w:pPr>
            <w:r>
              <w:rPr>
                <w:rFonts w:hint="eastAsia" w:ascii="宋体" w:hAnsi="宋体" w:cs="宋体"/>
                <w:b/>
                <w:szCs w:val="21"/>
              </w:rPr>
              <w:t>（三）教师教学与科研能力</w:t>
            </w:r>
          </w:p>
          <w:p>
            <w:pPr>
              <w:adjustRightInd w:val="0"/>
              <w:snapToGrid w:val="0"/>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自2017年3月安徽三联学院本科软件工程专业成立以来，本专业专任教师主持研究省（校）级各类教研项目 18项（表3所示）、省（校）级科研项目17项（表4所示），以第一作者身份（独撰）公开发表学术论文（含教学研究类论文）38篇，参与安徽三联集团下属企业合作省（部）级科研项目2项，并荣获教育部奖励1项（2018年）、省（校）级教学成果奖2项。在本专业22位教师中，1人荣获省级“教坛新秀”，1人荣获省级“线上教学名师”，且全部参与省（校）级教、科研项目的研究工作，占本专业教师比例达100%。 随着教、科研活动的开展，这对本科软件工程专业的建设及教学活动的支撑作用显现良好。</w:t>
            </w:r>
          </w:p>
          <w:p>
            <w:pPr>
              <w:spacing w:line="400" w:lineRule="exact"/>
              <w:jc w:val="center"/>
              <w:rPr>
                <w:rFonts w:ascii="宋体" w:hAnsi="宋体"/>
                <w:b/>
                <w:szCs w:val="21"/>
              </w:rPr>
            </w:pPr>
            <w:r>
              <w:rPr>
                <w:rFonts w:hint="eastAsia" w:ascii="宋体" w:hAnsi="宋体"/>
                <w:b/>
                <w:szCs w:val="21"/>
              </w:rPr>
              <w:t>表3  本专业教师主持省（校）级教</w:t>
            </w:r>
            <w:r>
              <w:rPr>
                <w:rFonts w:ascii="宋体" w:hAnsi="宋体"/>
                <w:b/>
                <w:szCs w:val="21"/>
              </w:rPr>
              <w:t>研</w:t>
            </w:r>
            <w:r>
              <w:rPr>
                <w:rFonts w:hint="eastAsia" w:ascii="宋体" w:hAnsi="宋体"/>
                <w:b/>
                <w:szCs w:val="21"/>
              </w:rPr>
              <w:t>项目一览表</w:t>
            </w:r>
          </w:p>
          <w:tbl>
            <w:tblPr>
              <w:tblStyle w:val="7"/>
              <w:tblW w:w="8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80"/>
              <w:gridCol w:w="5085"/>
              <w:gridCol w:w="780"/>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序号</w:t>
                  </w:r>
                </w:p>
              </w:tc>
              <w:tc>
                <w:tcPr>
                  <w:tcW w:w="780"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主持人</w:t>
                  </w:r>
                </w:p>
              </w:tc>
              <w:tc>
                <w:tcPr>
                  <w:tcW w:w="5085"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教研项目名称</w:t>
                  </w:r>
                </w:p>
              </w:tc>
              <w:tc>
                <w:tcPr>
                  <w:tcW w:w="780"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级别</w:t>
                  </w:r>
                </w:p>
              </w:tc>
              <w:tc>
                <w:tcPr>
                  <w:tcW w:w="941" w:type="dxa"/>
                  <w:noWrap/>
                  <w:vAlign w:val="center"/>
                </w:tcPr>
                <w:p>
                  <w:pPr>
                    <w:adjustRightInd w:val="0"/>
                    <w:snapToGrid w:val="0"/>
                    <w:spacing w:line="400" w:lineRule="exact"/>
                    <w:rPr>
                      <w:rFonts w:ascii="仿宋" w:hAnsi="仿宋" w:eastAsia="仿宋" w:cs="宋体"/>
                      <w:bCs/>
                      <w:sz w:val="18"/>
                      <w:szCs w:val="18"/>
                    </w:rPr>
                  </w:pPr>
                  <w:r>
                    <w:rPr>
                      <w:rFonts w:hint="eastAsia" w:ascii="仿宋" w:hAnsi="仿宋" w:eastAsia="仿宋" w:cs="宋体"/>
                      <w:bCs/>
                      <w:sz w:val="18"/>
                      <w:szCs w:val="18"/>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余久久</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精品资源共享课程：软件工程</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2</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杨小虎</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大规模在线开放课程（MOOC）示范项目：离散数学</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3</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张德青</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Java语言程序设计试卷库建设</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4</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张德青</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大规模在线开放课程（MOOC）示范项目：Java语言程序设计</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5</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张健</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大规模在线开放课程(MOOC)示范项目：计算机网络</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6</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岳国庆</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精品线下开放课程：计算机文化基础</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7</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梁月放</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大学生创新实训示范中心</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8</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吴宁</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智慧课堂试点：网络系统集成</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9</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岳国庆</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基于网络教学平台的计算机类课程教学改革与考试模式的研究</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10</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余久久</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新工科建设背景下应用型软件工程人才培养模式探索</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11</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陈蕴</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软件工程教学团队</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12</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张德青</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基于产教融合机制下的软件设计类课程的改革研究与实践</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13</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张健</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基于移动微型学习教学互动平台的研究-以《计算机网络》课程为例</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14</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吴宁</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“课程思政”视角下《软件工程导论》课程教学实践与探索</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省级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15</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马秀博</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基于对分PBL理论的应用型本科计算机组成原理实验教学模式研究</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16</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张文正</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电子实验教学无课堂自主学习模式的探索与实践</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17</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张文正</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新工科背景下“一带一路”教学大数据分析平台建设研究</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18</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吴宁</w:t>
                  </w:r>
                </w:p>
              </w:tc>
              <w:tc>
                <w:tcPr>
                  <w:tcW w:w="5085"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软件工程实验实训中心</w:t>
                  </w:r>
                </w:p>
              </w:tc>
              <w:tc>
                <w:tcPr>
                  <w:tcW w:w="780"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校级</w:t>
                  </w:r>
                </w:p>
              </w:tc>
              <w:tc>
                <w:tcPr>
                  <w:tcW w:w="941" w:type="dxa"/>
                  <w:vAlign w:val="center"/>
                </w:tcPr>
                <w:p>
                  <w:pPr>
                    <w:spacing w:line="400" w:lineRule="exact"/>
                    <w:jc w:val="center"/>
                    <w:rPr>
                      <w:rFonts w:ascii="仿宋" w:hAnsi="仿宋" w:eastAsia="仿宋"/>
                      <w:sz w:val="18"/>
                      <w:szCs w:val="18"/>
                    </w:rPr>
                  </w:pPr>
                  <w:r>
                    <w:rPr>
                      <w:rFonts w:hint="eastAsia" w:ascii="仿宋" w:hAnsi="仿宋" w:eastAsia="仿宋"/>
                      <w:sz w:val="18"/>
                      <w:szCs w:val="18"/>
                    </w:rPr>
                    <w:t>在研</w:t>
                  </w:r>
                </w:p>
              </w:tc>
            </w:tr>
          </w:tbl>
          <w:p>
            <w:pPr>
              <w:spacing w:line="400" w:lineRule="exact"/>
              <w:jc w:val="center"/>
              <w:rPr>
                <w:rFonts w:ascii="宋体" w:hAnsi="宋体"/>
                <w:b/>
                <w:szCs w:val="21"/>
              </w:rPr>
            </w:pPr>
          </w:p>
          <w:p>
            <w:pPr>
              <w:spacing w:line="400" w:lineRule="exact"/>
              <w:jc w:val="center"/>
              <w:rPr>
                <w:rFonts w:ascii="宋体" w:hAnsi="宋体"/>
                <w:b/>
                <w:szCs w:val="21"/>
              </w:rPr>
            </w:pPr>
            <w:r>
              <w:rPr>
                <w:rFonts w:hint="eastAsia" w:ascii="宋体" w:hAnsi="宋体"/>
                <w:b/>
                <w:szCs w:val="21"/>
              </w:rPr>
              <w:t>表4  本专业教师主持省（校）级科研项目一览表</w:t>
            </w:r>
          </w:p>
          <w:tbl>
            <w:tblPr>
              <w:tblStyle w:val="7"/>
              <w:tblW w:w="8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851"/>
              <w:gridCol w:w="5103"/>
              <w:gridCol w:w="622"/>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序号</w:t>
                  </w:r>
                </w:p>
              </w:tc>
              <w:tc>
                <w:tcPr>
                  <w:tcW w:w="851"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主持人</w:t>
                  </w:r>
                </w:p>
              </w:tc>
              <w:tc>
                <w:tcPr>
                  <w:tcW w:w="5103"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科研项目名称</w:t>
                  </w:r>
                </w:p>
              </w:tc>
              <w:tc>
                <w:tcPr>
                  <w:tcW w:w="622"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级别</w:t>
                  </w:r>
                </w:p>
              </w:tc>
              <w:tc>
                <w:tcPr>
                  <w:tcW w:w="984"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张健</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安徽省高校优秀青年人才支持计划项目</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2</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马秀博</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基于对称编码和改进倒排搜索的实时车辆分割和分类研究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3</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余久久</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软件探索性测试及其关键技术研究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4</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潘立琼</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基于Hadoop大数据技术在智能交通数据分析中的应用研究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5</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岳国庆</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安徽省高校优秀青年人才支持计划项目</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6</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梁月放</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基于物联网的智能交通控制系统的研究与探索</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7</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孙赟</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硫化铜薄膜材料的制备工艺和性能研究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8</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余久久</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安徽省高校优秀青年人才支持计划项目</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9</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程锦</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基于K-means算法的学生行为分析研究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10</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sz w:val="18"/>
                      <w:szCs w:val="18"/>
                    </w:rPr>
                    <w:t>杨小虎</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sz w:val="18"/>
                      <w:szCs w:val="18"/>
                    </w:rPr>
                    <w:t>基于大规模语料的新词发现算法研究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11</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程锦</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基于uiautomator2的移动终端应用软件自动化性能测试框架的设计研究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12</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张德青</w:t>
                  </w:r>
                </w:p>
              </w:tc>
              <w:tc>
                <w:tcPr>
                  <w:tcW w:w="5103" w:type="dxa"/>
                  <w:vAlign w:val="center"/>
                </w:tcPr>
                <w:p>
                  <w:pPr>
                    <w:widowControl/>
                    <w:jc w:val="center"/>
                    <w:rPr>
                      <w:rFonts w:ascii="仿宋_GB2312" w:hAnsi="仿宋" w:eastAsia="仿宋_GB2312" w:cs="宋体"/>
                      <w:kern w:val="0"/>
                      <w:sz w:val="18"/>
                      <w:szCs w:val="18"/>
                    </w:rPr>
                  </w:pPr>
                  <w:r>
                    <w:rPr>
                      <w:rFonts w:hint="eastAsia" w:ascii="仿宋_GB2312" w:eastAsia="仿宋_GB2312"/>
                      <w:color w:val="000000"/>
                      <w:sz w:val="18"/>
                      <w:szCs w:val="18"/>
                    </w:rPr>
                    <w:t>物联网技术在高校智慧图书馆建设中的应用研究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13</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吴宁</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基于IVI技术的网络互通应用研究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14</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张健</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基于ZigBee技术和多中间状态检测算法的智能停车诱导系统的研究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15</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余久久</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敏捷环境下软件探索式测试及应用研究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省级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16</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马秀博</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基于稀疏学习的多目标车辆实时跟踪技术研究</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 w:type="dxa"/>
                  <w:vAlign w:val="center"/>
                </w:tcPr>
                <w:p>
                  <w:pPr>
                    <w:adjustRightInd w:val="0"/>
                    <w:snapToGrid w:val="0"/>
                    <w:spacing w:line="400" w:lineRule="exact"/>
                    <w:jc w:val="center"/>
                    <w:rPr>
                      <w:rFonts w:ascii="仿宋_GB2312" w:hAnsi="仿宋" w:eastAsia="仿宋_GB2312" w:cs="宋体"/>
                      <w:bCs/>
                      <w:sz w:val="18"/>
                      <w:szCs w:val="18"/>
                    </w:rPr>
                  </w:pPr>
                  <w:r>
                    <w:rPr>
                      <w:rFonts w:hint="eastAsia" w:ascii="仿宋_GB2312" w:hAnsi="仿宋" w:eastAsia="仿宋_GB2312" w:cs="宋体"/>
                      <w:bCs/>
                      <w:sz w:val="18"/>
                      <w:szCs w:val="18"/>
                    </w:rPr>
                    <w:t>17</w:t>
                  </w:r>
                </w:p>
              </w:tc>
              <w:tc>
                <w:tcPr>
                  <w:tcW w:w="851"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朱苍璐</w:t>
                  </w:r>
                </w:p>
              </w:tc>
              <w:tc>
                <w:tcPr>
                  <w:tcW w:w="5103"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区块链技术支撑下的车载网研究与应用</w:t>
                  </w:r>
                </w:p>
              </w:tc>
              <w:tc>
                <w:tcPr>
                  <w:tcW w:w="622"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校级</w:t>
                  </w:r>
                </w:p>
              </w:tc>
              <w:tc>
                <w:tcPr>
                  <w:tcW w:w="984" w:type="dxa"/>
                  <w:vAlign w:val="center"/>
                </w:tcPr>
                <w:p>
                  <w:pPr>
                    <w:widowControl/>
                    <w:spacing w:line="400" w:lineRule="exact"/>
                    <w:jc w:val="center"/>
                    <w:rPr>
                      <w:rFonts w:ascii="仿宋_GB2312" w:hAnsi="仿宋" w:eastAsia="仿宋_GB2312" w:cs="宋体"/>
                      <w:kern w:val="0"/>
                      <w:sz w:val="18"/>
                      <w:szCs w:val="18"/>
                    </w:rPr>
                  </w:pPr>
                  <w:r>
                    <w:rPr>
                      <w:rFonts w:hint="eastAsia" w:ascii="仿宋_GB2312" w:eastAsia="仿宋_GB2312"/>
                      <w:color w:val="000000"/>
                      <w:sz w:val="18"/>
                      <w:szCs w:val="18"/>
                    </w:rPr>
                    <w:t>在研</w:t>
                  </w:r>
                </w:p>
              </w:tc>
            </w:tr>
          </w:tbl>
          <w:p>
            <w:pPr>
              <w:widowControl/>
              <w:spacing w:line="400" w:lineRule="exact"/>
              <w:ind w:firstLine="0" w:firstLineChars="0"/>
              <w:rPr>
                <w:rFonts w:hint="eastAsia" w:ascii="宋体" w:hAnsi="宋体" w:cs="宋体"/>
                <w:b/>
                <w:szCs w:val="21"/>
              </w:rPr>
            </w:pPr>
          </w:p>
          <w:p>
            <w:pPr>
              <w:widowControl/>
              <w:spacing w:line="400" w:lineRule="exact"/>
              <w:ind w:firstLine="422" w:firstLineChars="200"/>
              <w:rPr>
                <w:rFonts w:ascii="宋体" w:hAnsi="宋体" w:cs="宋体"/>
                <w:b/>
                <w:szCs w:val="21"/>
              </w:rPr>
            </w:pPr>
            <w:r>
              <w:rPr>
                <w:rFonts w:hint="eastAsia" w:ascii="宋体" w:hAnsi="宋体" w:cs="宋体"/>
                <w:b/>
                <w:szCs w:val="21"/>
              </w:rPr>
              <w:t>（四）实验教师队伍建设</w:t>
            </w:r>
          </w:p>
          <w:p>
            <w:pPr>
              <w:widowControl/>
              <w:spacing w:line="400" w:lineRule="exact"/>
              <w:ind w:firstLine="420" w:firstLineChars="200"/>
              <w:rPr>
                <w:rFonts w:ascii="宋体" w:hAnsi="宋体"/>
              </w:rPr>
            </w:pPr>
            <w:r>
              <w:rPr>
                <w:rFonts w:hint="eastAsia" w:ascii="宋体" w:hAnsi="宋体"/>
              </w:rPr>
              <w:t>在广泛借鉴省内同类高校本科软件工程专业建设的成功经验以及在我省IT行业的发展现状，在本地软件企业调研的基础上，根据学校现状，确定了该专业的实验教师队伍建设指导思想，制订了多项鼓励政策，在职称结构、学历结构、年龄结构等方面合理规划、配置实验教学队伍。在实验教学中，本专业授课教师大都同时承担该课程实验教学任务，担任课程实验教师。此外，其他专业教师也承担了软件工程专业部分课程的实验教学任务，担任实验课程教师（表5所示），充分保证了本专业实验教学的正常进行。满足实验教学需求，对提高软件工程专业实验教学质量起到了重要作用。</w:t>
            </w:r>
          </w:p>
          <w:p>
            <w:pPr>
              <w:spacing w:line="400" w:lineRule="exact"/>
              <w:ind w:firstLine="422"/>
              <w:jc w:val="center"/>
              <w:rPr>
                <w:rFonts w:ascii="宋体" w:hAnsi="宋体"/>
                <w:b/>
                <w:szCs w:val="21"/>
              </w:rPr>
            </w:pPr>
            <w:r>
              <w:rPr>
                <w:rFonts w:ascii="宋体" w:hAnsi="宋体"/>
                <w:b/>
                <w:szCs w:val="21"/>
              </w:rPr>
              <w:t>表</w:t>
            </w:r>
            <w:r>
              <w:rPr>
                <w:rFonts w:hint="eastAsia" w:ascii="宋体" w:hAnsi="宋体"/>
                <w:b/>
                <w:szCs w:val="21"/>
              </w:rPr>
              <w:t>5  软件工程专业担任实验课程教师基本情况一览表</w:t>
            </w:r>
          </w:p>
          <w:tbl>
            <w:tblPr>
              <w:tblStyle w:val="6"/>
              <w:tblW w:w="8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2300"/>
              <w:gridCol w:w="1417"/>
              <w:gridCol w:w="1134"/>
              <w:gridCol w:w="1134"/>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783" w:type="dxa"/>
                  <w:shd w:val="clear" w:color="auto" w:fill="auto"/>
                  <w:vAlign w:val="center"/>
                </w:tcPr>
                <w:p>
                  <w:pPr>
                    <w:widowControl/>
                    <w:spacing w:line="400" w:lineRule="exact"/>
                    <w:jc w:val="center"/>
                    <w:rPr>
                      <w:rFonts w:ascii="仿宋" w:hAnsi="仿宋" w:eastAsia="仿宋" w:cs="宋体"/>
                      <w:bCs/>
                      <w:kern w:val="0"/>
                      <w:sz w:val="18"/>
                      <w:szCs w:val="18"/>
                    </w:rPr>
                  </w:pPr>
                  <w:r>
                    <w:rPr>
                      <w:rFonts w:hint="eastAsia" w:ascii="仿宋" w:hAnsi="仿宋" w:eastAsia="仿宋" w:cs="宋体"/>
                      <w:bCs/>
                      <w:kern w:val="0"/>
                      <w:sz w:val="18"/>
                      <w:szCs w:val="18"/>
                    </w:rPr>
                    <w:t>序号</w:t>
                  </w:r>
                </w:p>
              </w:tc>
              <w:tc>
                <w:tcPr>
                  <w:tcW w:w="2300" w:type="dxa"/>
                  <w:shd w:val="clear" w:color="auto" w:fill="auto"/>
                  <w:vAlign w:val="center"/>
                </w:tcPr>
                <w:p>
                  <w:pPr>
                    <w:widowControl/>
                    <w:spacing w:line="400" w:lineRule="exact"/>
                    <w:jc w:val="center"/>
                    <w:rPr>
                      <w:rFonts w:ascii="仿宋" w:hAnsi="仿宋" w:eastAsia="仿宋" w:cs="宋体"/>
                      <w:bCs/>
                      <w:kern w:val="0"/>
                      <w:sz w:val="18"/>
                      <w:szCs w:val="18"/>
                    </w:rPr>
                  </w:pPr>
                  <w:r>
                    <w:rPr>
                      <w:rFonts w:hint="eastAsia" w:ascii="仿宋" w:hAnsi="仿宋" w:eastAsia="仿宋" w:cs="宋体"/>
                      <w:bCs/>
                      <w:kern w:val="0"/>
                      <w:sz w:val="18"/>
                      <w:szCs w:val="18"/>
                    </w:rPr>
                    <w:t>实验课程名称</w:t>
                  </w:r>
                </w:p>
              </w:tc>
              <w:tc>
                <w:tcPr>
                  <w:tcW w:w="1417" w:type="dxa"/>
                  <w:shd w:val="clear" w:color="auto" w:fill="auto"/>
                  <w:vAlign w:val="center"/>
                </w:tcPr>
                <w:p>
                  <w:pPr>
                    <w:widowControl/>
                    <w:spacing w:line="400" w:lineRule="exact"/>
                    <w:jc w:val="center"/>
                    <w:rPr>
                      <w:rFonts w:ascii="仿宋" w:hAnsi="仿宋" w:eastAsia="仿宋" w:cs="宋体"/>
                      <w:bCs/>
                      <w:kern w:val="0"/>
                      <w:sz w:val="18"/>
                      <w:szCs w:val="18"/>
                    </w:rPr>
                  </w:pPr>
                  <w:r>
                    <w:rPr>
                      <w:rFonts w:hint="eastAsia" w:ascii="仿宋" w:hAnsi="仿宋" w:eastAsia="仿宋" w:cs="宋体"/>
                      <w:bCs/>
                      <w:kern w:val="0"/>
                      <w:sz w:val="18"/>
                      <w:szCs w:val="18"/>
                    </w:rPr>
                    <w:t>实验教师</w:t>
                  </w:r>
                </w:p>
              </w:tc>
              <w:tc>
                <w:tcPr>
                  <w:tcW w:w="1134" w:type="dxa"/>
                  <w:shd w:val="clear" w:color="auto" w:fill="auto"/>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学位</w:t>
                  </w:r>
                </w:p>
              </w:tc>
              <w:tc>
                <w:tcPr>
                  <w:tcW w:w="1134" w:type="dxa"/>
                  <w:shd w:val="clear" w:color="auto" w:fill="auto"/>
                  <w:noWrap/>
                  <w:vAlign w:val="center"/>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职称</w:t>
                  </w:r>
                </w:p>
              </w:tc>
              <w:tc>
                <w:tcPr>
                  <w:tcW w:w="1419" w:type="dxa"/>
                </w:tcPr>
                <w:p>
                  <w:pPr>
                    <w:widowControl/>
                    <w:spacing w:line="400" w:lineRule="exact"/>
                    <w:jc w:val="center"/>
                    <w:rPr>
                      <w:rFonts w:ascii="仿宋" w:hAnsi="仿宋" w:eastAsia="仿宋" w:cs="宋体"/>
                      <w:kern w:val="0"/>
                      <w:sz w:val="18"/>
                      <w:szCs w:val="18"/>
                    </w:rPr>
                  </w:pPr>
                  <w:r>
                    <w:rPr>
                      <w:rFonts w:hint="eastAsia" w:ascii="仿宋" w:hAnsi="仿宋" w:eastAsia="仿宋" w:cs="宋体"/>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大学物理实验C</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王平</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2</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数字逻辑实验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余善好</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讲师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3</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程序设计基础实验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余久久</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4</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计算机系统基础实验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徐善功</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工程师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5</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数据结构与算法实验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卓雪雪</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讲师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数据库概论实验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张德青</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7</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计算机网络实验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孙海霞</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8</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面向对象程序设计实验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何姗姗</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助教</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9</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系统分析与建模实验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凌</w:t>
                  </w:r>
                  <w:r>
                    <w:rPr>
                      <w:rFonts w:ascii="仿宋" w:hAnsi="仿宋" w:eastAsia="仿宋" w:cs="宋体"/>
                      <w:color w:val="000000"/>
                      <w:kern w:val="0"/>
                      <w:sz w:val="18"/>
                      <w:szCs w:val="18"/>
                    </w:rPr>
                    <w:t>源</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高工</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10</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手机应用编程实验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汤雷</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11</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J2SE轻量级框架设计实验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周经文</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工程师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12</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软件工程职业实践</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邹娇</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高工</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13</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PHP技术实验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朱苍璐</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讲师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14</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Python程序设计实验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林徐</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其他专业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3"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15</w:t>
                  </w:r>
                </w:p>
              </w:tc>
              <w:tc>
                <w:tcPr>
                  <w:tcW w:w="2300" w:type="dxa"/>
                  <w:shd w:val="clear" w:color="auto" w:fill="auto"/>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人工智能导论实验</w:t>
                  </w:r>
                </w:p>
              </w:tc>
              <w:tc>
                <w:tcPr>
                  <w:tcW w:w="1417"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岳国庆</w:t>
                  </w:r>
                </w:p>
              </w:tc>
              <w:tc>
                <w:tcPr>
                  <w:tcW w:w="1134" w:type="dxa"/>
                  <w:shd w:val="clear" w:color="auto" w:fill="auto"/>
                  <w:noWrap/>
                  <w:vAlign w:val="center"/>
                </w:tcPr>
                <w:p>
                  <w:pPr>
                    <w:widowControl/>
                    <w:spacing w:line="40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硕士</w:t>
                  </w:r>
                </w:p>
              </w:tc>
              <w:tc>
                <w:tcPr>
                  <w:tcW w:w="1134" w:type="dxa"/>
                  <w:shd w:val="clear" w:color="auto" w:fill="auto"/>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副教授</w:t>
                  </w:r>
                </w:p>
              </w:tc>
              <w:tc>
                <w:tcPr>
                  <w:tcW w:w="1419" w:type="dxa"/>
                  <w:vAlign w:val="center"/>
                </w:tcPr>
                <w:p>
                  <w:pPr>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本专业</w:t>
                  </w:r>
                </w:p>
              </w:tc>
            </w:tr>
          </w:tbl>
          <w:p>
            <w:pPr>
              <w:widowControl/>
              <w:spacing w:line="400" w:lineRule="exact"/>
              <w:ind w:firstLine="211" w:firstLineChars="100"/>
              <w:rPr>
                <w:rFonts w:ascii="宋体" w:hAnsi="宋体" w:cs="宋体"/>
                <w:b/>
                <w:kern w:val="0"/>
                <w:szCs w:val="21"/>
                <w:lang w:bidi="en-US"/>
              </w:rPr>
            </w:pPr>
            <w:r>
              <w:rPr>
                <w:rFonts w:hint="eastAsia" w:ascii="宋体" w:hAnsi="宋体" w:cs="宋体"/>
                <w:b/>
                <w:kern w:val="0"/>
                <w:szCs w:val="21"/>
                <w:lang w:bidi="en-US"/>
              </w:rPr>
              <w:t>三、教学资源及利用</w:t>
            </w:r>
          </w:p>
          <w:p>
            <w:pPr>
              <w:widowControl/>
              <w:spacing w:line="400" w:lineRule="exact"/>
              <w:ind w:firstLine="422" w:firstLineChars="200"/>
              <w:rPr>
                <w:rFonts w:ascii="宋体" w:hAnsi="宋体" w:cs="宋体"/>
                <w:b/>
                <w:szCs w:val="21"/>
              </w:rPr>
            </w:pPr>
            <w:r>
              <w:rPr>
                <w:rFonts w:hint="eastAsia" w:ascii="宋体" w:hAnsi="宋体" w:cs="宋体"/>
                <w:b/>
                <w:szCs w:val="21"/>
              </w:rPr>
              <w:t>（一）专业实验室</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近年来，为了更好的培养我校软件工程专业本科学生的实际动手能力，学校不断加大对本专业实验室的经费投入，在原来计算机科学与技术、网络技术等实验室的基础上，新（扩）建了现代软件实习实训中心实验室、计算机组成结构实验室、移动互联开发实验室、数据库技术实验室、大学生创新实验室、大数据基础实验室、物联网综合实验室等。软件工程专业的一些公共课及基础课程实验依托学校基础实验中心，其专业核心课、专业方向课等实践（实验）教学环节依托计算机工程学院的专业实验室，能够满足对本专业学生实验教学及开展各类课外专业实践活动的需求，在专业人才培养中能发挥较好作用。</w:t>
            </w:r>
          </w:p>
          <w:p>
            <w:pPr>
              <w:widowControl/>
              <w:spacing w:line="400" w:lineRule="exact"/>
              <w:ind w:firstLine="422" w:firstLineChars="200"/>
              <w:rPr>
                <w:rFonts w:ascii="宋体" w:hAnsi="宋体" w:cs="宋体"/>
                <w:b/>
                <w:szCs w:val="21"/>
              </w:rPr>
            </w:pPr>
            <w:r>
              <w:rPr>
                <w:rFonts w:hint="eastAsia" w:ascii="宋体" w:hAnsi="宋体" w:cs="宋体"/>
                <w:b/>
                <w:szCs w:val="21"/>
              </w:rPr>
              <w:t>（二）专业图书资料</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安徽三联学院图书馆馆藏包括实体资源和网络虚拟资源。建设纸质文献、电子文献和其它载体文献兼顾。图书馆在不断加强纸质文献资源建设的同时，加大了数字化图书馆建设力度，形成了纸质文献与电子文献齐头并进的馆藏格局。在电子资源建设方面，先后引进了中国知网、维普期刊、超星读秀等网络数据库，目前在用各类数据库达29个。馆藏涵盖工学、理学、经济学、法学、文学、管理学、艺术等学科形成了以工为主、具有高等本科教育特色的馆藏体系。学校图书馆现有计算机类纸质馆藏图书3万余册，电子图书2万余册，生均110册，还提供有中国知网、万方、超星、EI、SCI论文等检索资源，为教学和学生学习提供了较好的文献信息保障和支持服务。满足本专业的办学要求。近三年，该专业学生人均年借书量不低于40册。</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本专业教师同时充分利用由“微课”、“MOOC”、网络课程和立体化教材构成的数字化资源中心，在网络平台上将课程教案、大纲、习题、实验、教学文件以及参考资料等教学资源进行共享，为广大教师和学生提供免费享用的优质教育资源，满足专业教学的需要。</w:t>
            </w:r>
          </w:p>
          <w:p>
            <w:pPr>
              <w:widowControl/>
              <w:spacing w:line="400" w:lineRule="exact"/>
              <w:ind w:firstLine="422" w:firstLineChars="200"/>
              <w:rPr>
                <w:rFonts w:ascii="宋体" w:hAnsi="宋体" w:cs="宋体"/>
                <w:b/>
                <w:szCs w:val="21"/>
              </w:rPr>
            </w:pPr>
            <w:r>
              <w:rPr>
                <w:rFonts w:hint="eastAsia" w:ascii="宋体" w:hAnsi="宋体" w:cs="宋体"/>
                <w:b/>
                <w:szCs w:val="21"/>
              </w:rPr>
              <w:t>（三）校外实习基地</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近几年，本专业相继与安徽三联交通应用技术股份有限公司、合肥科大讯飞信息科技公司、江苏微软技术有限公司、上海海同科技有限公司、合肥达内科技有限公司、安徽晶奇网络科技股份有限公司、联宝(合肥)电子科技有限公司、上海第九城市信息技术有限公司、安徽晶奇网络公司、三联机器人科技有限公司等多家知名软件企业建立了合作关系（表6所示），建立了较为稳定的校外实习基地。</w:t>
            </w:r>
          </w:p>
          <w:p>
            <w:pPr>
              <w:spacing w:line="400" w:lineRule="exact"/>
              <w:jc w:val="center"/>
              <w:rPr>
                <w:rFonts w:ascii="宋体" w:hAnsi="宋体"/>
                <w:b/>
                <w:szCs w:val="21"/>
              </w:rPr>
            </w:pPr>
            <w:r>
              <w:rPr>
                <w:rFonts w:hint="eastAsia" w:ascii="宋体" w:hAnsi="宋体"/>
                <w:b/>
                <w:szCs w:val="21"/>
              </w:rPr>
              <w:t xml:space="preserve">   表6</w:t>
            </w:r>
            <w:r>
              <w:rPr>
                <w:rFonts w:ascii="宋体" w:hAnsi="宋体"/>
                <w:b/>
                <w:szCs w:val="21"/>
              </w:rPr>
              <w:t xml:space="preserve"> </w:t>
            </w:r>
            <w:r>
              <w:rPr>
                <w:rFonts w:hint="eastAsia" w:ascii="宋体" w:hAnsi="宋体"/>
                <w:b/>
                <w:szCs w:val="21"/>
              </w:rPr>
              <w:t xml:space="preserve"> 校外实习基地及利用情况一览表</w:t>
            </w:r>
          </w:p>
          <w:tbl>
            <w:tblPr>
              <w:tblStyle w:val="6"/>
              <w:tblW w:w="8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3304"/>
              <w:gridCol w:w="127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序号</w:t>
                  </w:r>
                </w:p>
              </w:tc>
              <w:tc>
                <w:tcPr>
                  <w:tcW w:w="3304"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实习基地单位名称</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建立时间</w:t>
                  </w:r>
                </w:p>
              </w:tc>
              <w:tc>
                <w:tcPr>
                  <w:tcW w:w="2977"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主要实习内容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合肥科大讯飞教育发展有限公司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2013年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智能终端平台web软件设计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联宝（合肥）电子科技有限公司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5</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软件开发与维护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3</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安徽晶奇网络科技股份有限公司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6</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智能交通方案设计、软件测试技术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4</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芜湖凡臣电子商务有限公司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6</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软件技术设计、软件测试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5</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安徽冠邦鼎畅商贸有限公司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6</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企业信息化平台开发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6</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北京汇众益智科技有限公司合肥分公司</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2016年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网络应用系统开发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7</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合肥阳光雨露信息技术服务有限公司</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2018年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软件信息服务与应用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8</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安徽三联交通应用技术股份有限公司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9</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智能交通系统研发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9</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上海东方激光教育文化有限公司</w:t>
                  </w:r>
                </w:p>
              </w:tc>
              <w:tc>
                <w:tcPr>
                  <w:tcW w:w="1276" w:type="dxa"/>
                  <w:shd w:val="clear" w:color="auto" w:fill="auto"/>
                  <w:vAlign w:val="center"/>
                </w:tcPr>
                <w:p>
                  <w:pPr>
                    <w:spacing w:line="400" w:lineRule="exact"/>
                    <w:jc w:val="center"/>
                    <w:rPr>
                      <w:rFonts w:ascii="仿宋" w:hAnsi="仿宋" w:eastAsia="仿宋"/>
                      <w:sz w:val="18"/>
                      <w:szCs w:val="18"/>
                    </w:rPr>
                  </w:pPr>
                  <w:r>
                    <w:rPr>
                      <w:rFonts w:ascii="仿宋" w:hAnsi="仿宋" w:eastAsia="仿宋"/>
                      <w:sz w:val="18"/>
                      <w:szCs w:val="18"/>
                    </w:rPr>
                    <w:t>201</w:t>
                  </w:r>
                  <w:r>
                    <w:rPr>
                      <w:rFonts w:hint="eastAsia" w:ascii="仿宋" w:hAnsi="仿宋" w:eastAsia="仿宋"/>
                      <w:sz w:val="18"/>
                      <w:szCs w:val="18"/>
                    </w:rPr>
                    <w:t>9</w:t>
                  </w:r>
                  <w:r>
                    <w:rPr>
                      <w:rFonts w:ascii="仿宋" w:hAnsi="仿宋" w:eastAsia="仿宋"/>
                      <w:sz w:val="18"/>
                      <w:szCs w:val="18"/>
                    </w:rPr>
                    <w:t>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软件开发与管理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10</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艺朝艺夕教育科技集团有限公司</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2019年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软件开发与管理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11</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安徽玉臻商务咨询有限公司</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2019年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物联网管理与维护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12</w:t>
                  </w:r>
                </w:p>
              </w:tc>
              <w:tc>
                <w:tcPr>
                  <w:tcW w:w="3304"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安徽爱学堂教育科技有限公司</w:t>
                  </w:r>
                </w:p>
              </w:tc>
              <w:tc>
                <w:tcPr>
                  <w:tcW w:w="1276"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2019年</w:t>
                  </w:r>
                </w:p>
              </w:tc>
              <w:tc>
                <w:tcPr>
                  <w:tcW w:w="2977" w:type="dxa"/>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w:t>
                  </w:r>
                  <w:r>
                    <w:rPr>
                      <w:rFonts w:ascii="仿宋" w:hAnsi="仿宋" w:eastAsia="仿宋"/>
                      <w:sz w:val="18"/>
                      <w:szCs w:val="18"/>
                    </w:rPr>
                    <w:t>技术研发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0" w:type="dxa"/>
                  <w:shd w:val="clear" w:color="auto" w:fill="auto"/>
                  <w:vAlign w:val="center"/>
                </w:tcPr>
                <w:p>
                  <w:pPr>
                    <w:spacing w:line="400" w:lineRule="exact"/>
                    <w:jc w:val="center"/>
                    <w:rPr>
                      <w:rFonts w:ascii="仿宋" w:hAnsi="仿宋" w:eastAsia="仿宋"/>
                      <w:sz w:val="18"/>
                      <w:szCs w:val="18"/>
                    </w:rPr>
                  </w:pPr>
                  <w:r>
                    <w:rPr>
                      <w:rFonts w:hint="eastAsia" w:ascii="仿宋" w:hAnsi="仿宋" w:eastAsia="仿宋"/>
                      <w:sz w:val="18"/>
                      <w:szCs w:val="18"/>
                    </w:rPr>
                    <w:t>13</w:t>
                  </w:r>
                </w:p>
              </w:tc>
              <w:tc>
                <w:tcPr>
                  <w:tcW w:w="3304" w:type="dxa"/>
                  <w:shd w:val="clear" w:color="auto" w:fill="auto"/>
                  <w:vAlign w:val="center"/>
                </w:tcPr>
                <w:p>
                  <w:pPr>
                    <w:widowControl/>
                    <w:jc w:val="center"/>
                    <w:rPr>
                      <w:rFonts w:ascii="仿宋" w:hAnsi="仿宋" w:eastAsia="仿宋"/>
                      <w:sz w:val="18"/>
                      <w:szCs w:val="18"/>
                    </w:rPr>
                  </w:pPr>
                  <w:r>
                    <w:rPr>
                      <w:rFonts w:hint="eastAsia" w:ascii="仿宋" w:hAnsi="仿宋" w:eastAsia="仿宋"/>
                      <w:sz w:val="18"/>
                      <w:szCs w:val="18"/>
                    </w:rPr>
                    <w:t>合肥艾迈普信息科技有限公司</w:t>
                  </w:r>
                </w:p>
              </w:tc>
              <w:tc>
                <w:tcPr>
                  <w:tcW w:w="1276" w:type="dxa"/>
                  <w:shd w:val="clear" w:color="auto" w:fill="auto"/>
                  <w:vAlign w:val="center"/>
                </w:tcPr>
                <w:p>
                  <w:pPr>
                    <w:widowControl/>
                    <w:spacing w:line="400" w:lineRule="exact"/>
                    <w:jc w:val="center"/>
                    <w:rPr>
                      <w:rFonts w:ascii="仿宋" w:hAnsi="仿宋" w:eastAsia="仿宋"/>
                      <w:sz w:val="18"/>
                      <w:szCs w:val="18"/>
                    </w:rPr>
                  </w:pPr>
                  <w:r>
                    <w:rPr>
                      <w:rFonts w:hint="eastAsia" w:ascii="仿宋" w:hAnsi="仿宋" w:eastAsia="仿宋"/>
                      <w:sz w:val="18"/>
                      <w:szCs w:val="18"/>
                    </w:rPr>
                    <w:t>2020年</w:t>
                  </w:r>
                </w:p>
              </w:tc>
              <w:tc>
                <w:tcPr>
                  <w:tcW w:w="2977" w:type="dxa"/>
                  <w:shd w:val="clear" w:color="auto" w:fill="auto"/>
                  <w:vAlign w:val="center"/>
                </w:tcPr>
                <w:p>
                  <w:pPr>
                    <w:jc w:val="center"/>
                    <w:rPr>
                      <w:rFonts w:ascii="仿宋" w:hAnsi="仿宋" w:eastAsia="仿宋" w:cs="仿宋_GB2312"/>
                      <w:kern w:val="0"/>
                      <w:szCs w:val="21"/>
                      <w:lang w:bidi="en-US"/>
                    </w:rPr>
                  </w:pPr>
                  <w:r>
                    <w:rPr>
                      <w:rFonts w:hint="eastAsia" w:ascii="仿宋" w:hAnsi="仿宋" w:eastAsia="仿宋"/>
                      <w:sz w:val="18"/>
                      <w:szCs w:val="18"/>
                    </w:rPr>
                    <w:t>地理信息系统研发</w:t>
                  </w:r>
                </w:p>
              </w:tc>
            </w:tr>
          </w:tbl>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这些校外实习基地为安徽三联学院软件工程专业以及其他计算机类专业学生提供了切实可行的校外实习（训）条件，校企联合，共同制定了实习方案，由企业导师和校内导师共同指导学生开展专业实践、实习实训、毕业设计（论文）等实践教学活动。校外实习基地的建设能够保证学生实习环节的效果，实践教学质量良好。</w:t>
            </w:r>
          </w:p>
          <w:p>
            <w:pPr>
              <w:widowControl/>
              <w:spacing w:line="400" w:lineRule="exact"/>
              <w:ind w:firstLine="422" w:firstLineChars="200"/>
              <w:rPr>
                <w:rFonts w:ascii="宋体" w:hAnsi="宋体" w:cs="宋体"/>
                <w:b/>
                <w:szCs w:val="21"/>
              </w:rPr>
            </w:pPr>
            <w:r>
              <w:rPr>
                <w:rFonts w:hint="eastAsia" w:ascii="宋体" w:hAnsi="宋体" w:cs="宋体"/>
                <w:b/>
                <w:szCs w:val="21"/>
              </w:rPr>
              <w:t>（四）学术交流活动</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自2017年3月本科软件工程专业正式成立以来,先后组织本专业教师到中科大、合工大、滁州学院、宿州学院等省内高校访问学习。本专业40余人次先后参加了安徽省计算机教育研究会、安徽省教育厅、中国计算机学会、安徽人工智能学会、合肥市人民政府、科大讯飞、阿里云召开的计算机教学研讨会、教学研讨会等各类校外交流活动,与本省计算机界同仁进行交流。此外，本专业教师面向校内师生，举办了计算机与软件工程领域各类学术讲座（研讨会）17次，其中2次聘请了校外专家或工程技术人员。</w:t>
            </w:r>
          </w:p>
          <w:p>
            <w:pPr>
              <w:widowControl/>
              <w:spacing w:line="400" w:lineRule="exact"/>
              <w:ind w:firstLine="422" w:firstLineChars="200"/>
              <w:rPr>
                <w:rFonts w:ascii="宋体" w:hAnsi="宋体" w:cs="宋体"/>
                <w:b/>
                <w:kern w:val="0"/>
                <w:szCs w:val="21"/>
                <w:lang w:bidi="en-US"/>
              </w:rPr>
            </w:pPr>
            <w:r>
              <w:rPr>
                <w:rFonts w:hint="eastAsia" w:ascii="宋体" w:hAnsi="宋体" w:cs="宋体"/>
                <w:b/>
                <w:kern w:val="0"/>
                <w:szCs w:val="21"/>
                <w:lang w:bidi="en-US"/>
              </w:rPr>
              <w:t>四、教学过程及管理</w:t>
            </w:r>
          </w:p>
          <w:p>
            <w:pPr>
              <w:widowControl/>
              <w:spacing w:line="400" w:lineRule="exact"/>
              <w:ind w:firstLine="422" w:firstLineChars="200"/>
              <w:rPr>
                <w:rFonts w:ascii="宋体" w:hAnsi="宋体" w:cs="宋体"/>
                <w:b/>
                <w:szCs w:val="21"/>
              </w:rPr>
            </w:pPr>
            <w:r>
              <w:rPr>
                <w:rFonts w:hint="eastAsia" w:ascii="宋体" w:hAnsi="宋体" w:cs="宋体"/>
                <w:b/>
                <w:szCs w:val="21"/>
              </w:rPr>
              <w:t>（一）课程建设</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近几年来，软件工程专业通过多种形式深入对本地IT行业进行人才需求调研，广泛征求本地软件企业的建议，以掌握基于当前主流移动终端平台的Web软件应用系统的需求分析、设计、编码、测试、维护及管理等方面的专业知识，科学构建“四平台、八模块”课程体系，确定与优化移动终端件开发方向，紧盯人工智能时代下各类Web移动终端软件系统的应用与服务，建构具有系统观与工程观，融合理论、工程、管理、团队、职业等知识确定专业核心课程，并把现代敏捷软件开发方法与工具作为知识与素质教育的载体融入到本专业方向课程的建设中。</w:t>
            </w:r>
          </w:p>
          <w:p>
            <w:pPr>
              <w:widowControl/>
              <w:spacing w:line="400" w:lineRule="exact"/>
              <w:ind w:firstLine="420" w:firstLineChars="200"/>
              <w:rPr>
                <w:rFonts w:ascii="宋体" w:hAnsi="宋体"/>
              </w:rPr>
            </w:pPr>
            <w:r>
              <w:rPr>
                <w:rFonts w:hint="eastAsia" w:ascii="宋体" w:hAnsi="宋体" w:cs="宋体"/>
                <w:kern w:val="0"/>
                <w:szCs w:val="21"/>
                <w:lang w:bidi="en-US"/>
              </w:rPr>
              <w:t>此外，紧密</w:t>
            </w:r>
            <w:r>
              <w:rPr>
                <w:rFonts w:hint="eastAsia" w:ascii="宋体" w:hAnsi="宋体"/>
              </w:rPr>
              <w:t>跟踪现代软件工程发展新技术，不断把新技术引入课堂教学中。在课程设置和教学内容选取上，力求与企业深度合作，将企业对人才需求标准融入教学中。此做法有利于促进课程教学质量的提升，提高课堂教学效果。本专业教师针对软件工程专业的主干课程，积极主持并开展MOOC课程、精品资源共享课程、线上+线下混合课程的建设活动（表7所示）。其中，《计算机文化基础》、《Java语言程序设计》、《软件工程》、《离散数学》、等课程已作为省（校）级重点建设课程，并已着手编写并出版相应的课程教材。积极组织本专业教师学习省级各类线上课程相关政策和建设标准，在我校产教融合发展的背景下，校企合作，拟与企业共同开发课程教材。</w:t>
            </w:r>
          </w:p>
          <w:p>
            <w:pPr>
              <w:spacing w:line="400" w:lineRule="exact"/>
              <w:jc w:val="center"/>
              <w:rPr>
                <w:rFonts w:ascii="宋体" w:hAnsi="宋体"/>
                <w:b/>
                <w:szCs w:val="21"/>
              </w:rPr>
            </w:pPr>
            <w:r>
              <w:rPr>
                <w:rFonts w:hint="eastAsia" w:ascii="宋体" w:hAnsi="宋体"/>
                <w:b/>
                <w:szCs w:val="21"/>
              </w:rPr>
              <w:t>表7  省（校）级MOOC课程、精品课程一览表</w:t>
            </w:r>
          </w:p>
          <w:tbl>
            <w:tblPr>
              <w:tblStyle w:val="7"/>
              <w:tblW w:w="7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880"/>
              <w:gridCol w:w="395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序号</w:t>
                  </w:r>
                </w:p>
              </w:tc>
              <w:tc>
                <w:tcPr>
                  <w:tcW w:w="880"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主持人</w:t>
                  </w:r>
                </w:p>
              </w:tc>
              <w:tc>
                <w:tcPr>
                  <w:tcW w:w="3958"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名称</w:t>
                  </w:r>
                </w:p>
              </w:tc>
              <w:tc>
                <w:tcPr>
                  <w:tcW w:w="1701" w:type="dxa"/>
                  <w:noWrap/>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1</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余久久</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《软件工程》MOOC</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2</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张德青</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《Java语言程序设计》</w:t>
                  </w:r>
                  <w:r>
                    <w:rPr>
                      <w:rFonts w:ascii="仿宋" w:hAnsi="仿宋" w:eastAsia="仿宋" w:cs="宋体"/>
                      <w:bCs/>
                      <w:sz w:val="18"/>
                      <w:szCs w:val="18"/>
                    </w:rPr>
                    <w:t>MOOC</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3</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杨小虎</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《离散数学》</w:t>
                  </w:r>
                  <w:r>
                    <w:rPr>
                      <w:rFonts w:ascii="仿宋" w:hAnsi="仿宋" w:eastAsia="仿宋" w:cs="宋体"/>
                      <w:bCs/>
                      <w:sz w:val="18"/>
                      <w:szCs w:val="18"/>
                    </w:rPr>
                    <w:t>MOOC</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4</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岳国庆</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《计算机文化基础》</w:t>
                  </w:r>
                  <w:r>
                    <w:rPr>
                      <w:rFonts w:ascii="仿宋" w:hAnsi="仿宋" w:eastAsia="仿宋" w:cs="宋体"/>
                      <w:bCs/>
                      <w:sz w:val="18"/>
                      <w:szCs w:val="18"/>
                    </w:rPr>
                    <w:t>MOOC</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5</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张健</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《计算机网络》</w:t>
                  </w:r>
                  <w:r>
                    <w:rPr>
                      <w:rFonts w:ascii="仿宋" w:hAnsi="仿宋" w:eastAsia="仿宋" w:cs="宋体"/>
                      <w:bCs/>
                      <w:sz w:val="18"/>
                      <w:szCs w:val="18"/>
                    </w:rPr>
                    <w:t>MOOC</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6</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余久久</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《软件工程》精品课程</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6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7</w:t>
                  </w:r>
                </w:p>
              </w:tc>
              <w:tc>
                <w:tcPr>
                  <w:tcW w:w="880"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岳国庆</w:t>
                  </w:r>
                </w:p>
              </w:tc>
              <w:tc>
                <w:tcPr>
                  <w:tcW w:w="3958"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《计算机文化基础》精品课程</w:t>
                  </w:r>
                </w:p>
              </w:tc>
              <w:tc>
                <w:tcPr>
                  <w:tcW w:w="1701" w:type="dxa"/>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省级</w:t>
                  </w:r>
                </w:p>
              </w:tc>
            </w:tr>
          </w:tbl>
          <w:p>
            <w:pPr>
              <w:widowControl/>
              <w:spacing w:line="400" w:lineRule="exact"/>
              <w:ind w:firstLine="422" w:firstLineChars="200"/>
              <w:rPr>
                <w:rFonts w:hint="eastAsia" w:ascii="宋体" w:hAnsi="宋体" w:cs="宋体"/>
                <w:b/>
                <w:szCs w:val="21"/>
              </w:rPr>
            </w:pPr>
          </w:p>
          <w:p>
            <w:pPr>
              <w:widowControl/>
              <w:spacing w:line="400" w:lineRule="exact"/>
              <w:ind w:firstLine="422" w:firstLineChars="200"/>
              <w:rPr>
                <w:rFonts w:hint="eastAsia" w:ascii="宋体" w:hAnsi="宋体" w:cs="宋体"/>
                <w:b/>
                <w:szCs w:val="21"/>
              </w:rPr>
            </w:pPr>
          </w:p>
          <w:p>
            <w:pPr>
              <w:widowControl/>
              <w:spacing w:line="400" w:lineRule="exact"/>
              <w:ind w:firstLine="422" w:firstLineChars="200"/>
              <w:rPr>
                <w:rFonts w:ascii="宋体" w:hAnsi="宋体" w:cs="宋体"/>
                <w:b/>
                <w:szCs w:val="21"/>
              </w:rPr>
            </w:pPr>
            <w:r>
              <w:rPr>
                <w:rFonts w:hint="eastAsia" w:ascii="宋体" w:hAnsi="宋体" w:cs="宋体"/>
                <w:b/>
                <w:szCs w:val="21"/>
              </w:rPr>
              <w:t>（二）教材建设</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在教材建设上，教材选用须优先使用省（部</w:t>
            </w:r>
            <w:r>
              <w:rPr>
                <w:rFonts w:ascii="宋体" w:hAnsi="宋体" w:cs="宋体"/>
                <w:kern w:val="0"/>
                <w:szCs w:val="21"/>
                <w:lang w:bidi="en-US"/>
              </w:rPr>
              <w:t>）</w:t>
            </w:r>
            <w:r>
              <w:rPr>
                <w:rFonts w:hint="eastAsia" w:ascii="宋体" w:hAnsi="宋体" w:cs="宋体"/>
                <w:kern w:val="0"/>
                <w:szCs w:val="21"/>
                <w:lang w:bidi="en-US"/>
              </w:rPr>
              <w:t>级及以上规划教材、获奖教材、项目建设成果教材（含自编教材）、国内知名出版社的优秀教材、重点教材等，然后从中选取更加契合应用型本科层次，符合教学大纲要求的“适用”教材。遴选过程先由同一门课程的多名教师，提出拟选用的1-3种教材，由学院教材建设委员会审议后，确定使用其中的一种教材，并经学院负责人签字后，方可正式征订。本专业课程已使用教材情况如表8所示。</w:t>
            </w:r>
          </w:p>
          <w:p>
            <w:pPr>
              <w:spacing w:line="400" w:lineRule="exact"/>
              <w:jc w:val="center"/>
              <w:rPr>
                <w:rFonts w:ascii="宋体" w:hAnsi="宋体"/>
                <w:b/>
                <w:szCs w:val="21"/>
              </w:rPr>
            </w:pPr>
            <w:r>
              <w:rPr>
                <w:rFonts w:hint="eastAsia" w:ascii="宋体" w:hAnsi="宋体"/>
                <w:b/>
                <w:szCs w:val="21"/>
              </w:rPr>
              <w:t>表8 本专业课程已使用教材情况表</w:t>
            </w:r>
          </w:p>
          <w:tbl>
            <w:tblPr>
              <w:tblStyle w:val="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2" w:type="dxa"/>
                  <w:vMerge w:val="restart"/>
                  <w:shd w:val="clear" w:color="auto" w:fill="auto"/>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软件工程专业教材</w:t>
                  </w:r>
                </w:p>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已使用情况</w:t>
                  </w:r>
                </w:p>
              </w:tc>
              <w:tc>
                <w:tcPr>
                  <w:tcW w:w="1722" w:type="dxa"/>
                  <w:shd w:val="clear" w:color="auto" w:fill="auto"/>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已使用规划教材</w:t>
                  </w:r>
                </w:p>
              </w:tc>
              <w:tc>
                <w:tcPr>
                  <w:tcW w:w="1723" w:type="dxa"/>
                  <w:shd w:val="clear" w:color="auto" w:fill="auto"/>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已使用优秀教材</w:t>
                  </w:r>
                </w:p>
              </w:tc>
              <w:tc>
                <w:tcPr>
                  <w:tcW w:w="1723" w:type="dxa"/>
                  <w:shd w:val="clear" w:color="auto" w:fill="auto"/>
                  <w:vAlign w:val="center"/>
                </w:tcPr>
                <w:p>
                  <w:pPr>
                    <w:adjustRightInd w:val="0"/>
                    <w:snapToGrid w:val="0"/>
                    <w:spacing w:line="400" w:lineRule="exact"/>
                    <w:jc w:val="center"/>
                    <w:rPr>
                      <w:rFonts w:ascii="仿宋" w:hAnsi="仿宋" w:eastAsia="仿宋" w:cs="宋体"/>
                      <w:bCs/>
                      <w:sz w:val="18"/>
                      <w:szCs w:val="18"/>
                    </w:rPr>
                  </w:pPr>
                  <w:r>
                    <w:rPr>
                      <w:rFonts w:hint="eastAsia" w:ascii="仿宋" w:hAnsi="仿宋" w:eastAsia="仿宋" w:cs="宋体"/>
                      <w:bCs/>
                      <w:sz w:val="18"/>
                      <w:szCs w:val="18"/>
                    </w:rPr>
                    <w:t>已使用自编教材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2" w:type="dxa"/>
                  <w:vMerge w:val="continue"/>
                  <w:shd w:val="clear" w:color="auto" w:fill="auto"/>
                  <w:vAlign w:val="center"/>
                </w:tcPr>
                <w:p>
                  <w:pPr>
                    <w:widowControl/>
                    <w:spacing w:line="400" w:lineRule="exact"/>
                    <w:jc w:val="center"/>
                    <w:rPr>
                      <w:rFonts w:ascii="仿宋_GB2312" w:hAnsi="仿宋_GB2312" w:eastAsia="仿宋_GB2312" w:cs="仿宋_GB2312"/>
                      <w:color w:val="FF0000"/>
                      <w:kern w:val="0"/>
                      <w:sz w:val="18"/>
                      <w:szCs w:val="18"/>
                      <w:lang w:bidi="en-US"/>
                    </w:rPr>
                  </w:pPr>
                </w:p>
              </w:tc>
              <w:tc>
                <w:tcPr>
                  <w:tcW w:w="1722" w:type="dxa"/>
                  <w:shd w:val="clear" w:color="auto" w:fill="auto"/>
                </w:tcPr>
                <w:p>
                  <w:pPr>
                    <w:widowControl/>
                    <w:spacing w:line="400" w:lineRule="exact"/>
                    <w:jc w:val="center"/>
                    <w:rPr>
                      <w:rFonts w:ascii="仿宋" w:hAnsi="仿宋" w:eastAsia="仿宋"/>
                      <w:sz w:val="18"/>
                      <w:szCs w:val="18"/>
                    </w:rPr>
                  </w:pPr>
                  <w:r>
                    <w:rPr>
                      <w:rFonts w:hint="eastAsia" w:ascii="仿宋" w:hAnsi="仿宋" w:eastAsia="仿宋"/>
                      <w:sz w:val="18"/>
                      <w:szCs w:val="18"/>
                    </w:rPr>
                    <w:t>23</w:t>
                  </w:r>
                </w:p>
              </w:tc>
              <w:tc>
                <w:tcPr>
                  <w:tcW w:w="1723" w:type="dxa"/>
                  <w:shd w:val="clear" w:color="auto" w:fill="auto"/>
                </w:tcPr>
                <w:p>
                  <w:pPr>
                    <w:widowControl/>
                    <w:spacing w:line="400" w:lineRule="exact"/>
                    <w:jc w:val="center"/>
                    <w:rPr>
                      <w:rFonts w:ascii="仿宋" w:hAnsi="仿宋" w:eastAsia="仿宋"/>
                      <w:sz w:val="18"/>
                      <w:szCs w:val="18"/>
                    </w:rPr>
                  </w:pPr>
                  <w:r>
                    <w:rPr>
                      <w:rFonts w:hint="eastAsia" w:ascii="仿宋" w:hAnsi="仿宋" w:eastAsia="仿宋"/>
                      <w:sz w:val="18"/>
                      <w:szCs w:val="18"/>
                    </w:rPr>
                    <w:t>41</w:t>
                  </w:r>
                </w:p>
              </w:tc>
              <w:tc>
                <w:tcPr>
                  <w:tcW w:w="1723" w:type="dxa"/>
                  <w:shd w:val="clear" w:color="auto" w:fill="auto"/>
                </w:tcPr>
                <w:p>
                  <w:pPr>
                    <w:widowControl/>
                    <w:spacing w:line="400" w:lineRule="exact"/>
                    <w:jc w:val="center"/>
                    <w:rPr>
                      <w:rFonts w:ascii="仿宋" w:hAnsi="仿宋" w:eastAsia="仿宋"/>
                      <w:sz w:val="18"/>
                      <w:szCs w:val="18"/>
                    </w:rPr>
                  </w:pPr>
                  <w:r>
                    <w:rPr>
                      <w:rFonts w:hint="eastAsia" w:ascii="仿宋" w:hAnsi="仿宋" w:eastAsia="仿宋"/>
                      <w:sz w:val="18"/>
                      <w:szCs w:val="18"/>
                    </w:rPr>
                    <w:t>1</w:t>
                  </w:r>
                </w:p>
              </w:tc>
            </w:tr>
          </w:tbl>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此外，本专业部分教师还积极从事自编教材活动，开展各项教学研究，有效促进课程改革。</w:t>
            </w:r>
          </w:p>
          <w:p>
            <w:pPr>
              <w:widowControl/>
              <w:spacing w:line="400" w:lineRule="exact"/>
              <w:ind w:firstLine="422" w:firstLineChars="200"/>
              <w:rPr>
                <w:rFonts w:ascii="宋体" w:hAnsi="宋体" w:cs="宋体"/>
                <w:b/>
                <w:szCs w:val="21"/>
              </w:rPr>
            </w:pPr>
            <w:r>
              <w:rPr>
                <w:rFonts w:hint="eastAsia" w:ascii="宋体" w:hAnsi="宋体" w:cs="宋体"/>
                <w:b/>
                <w:szCs w:val="21"/>
              </w:rPr>
              <w:t>（三）教学研究与改革</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针对专业建设中的培养方案、课程建设等方面的问题，有计划地开展研究活动。2017年至今，本专业教师主持研究省（校）级各类教研项目共21项（其中10项已结题，11项在研）。本专业所有教师均积极参与了教学研究和教学改革活动，在教学改革方面成效显著，并荣获省（校）级教学成果奖2项。其主要做法如下：</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1.改进与创新教学方法，加强教学交流。鼓励采用启发式、问题驱动式、混合式等现代教学方法，多途径吸收好的教学方法，提高教学效果。</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2.合理使用多媒体教学。制作高质量的多媒体课件，所有专业课程采用多媒体教学为主要教学手段。</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3.在教学过程中引进网络技术手段，广泛利用网络资源，建立网络教学平台，提高学生的自学能力。</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4.建立优质教学资源开放共享制度。比如开放实验室，录制MOOC课程资源，开发微课形式的多媒体课件，开发设计软件工程课程资源网站、实行网络教学资源共享等。</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5.积极探索以课题研究带动实验教学的模式，将研究成果和研究思维注入实验教学，扩展学生知识视野，增强团队协作精神，培养科学思维方法，提高实践动手能力。</w:t>
            </w:r>
          </w:p>
          <w:p>
            <w:pPr>
              <w:widowControl/>
              <w:spacing w:line="400" w:lineRule="exact"/>
              <w:ind w:firstLine="422" w:firstLineChars="200"/>
              <w:rPr>
                <w:rFonts w:ascii="宋体" w:hAnsi="宋体" w:cs="宋体"/>
                <w:b/>
                <w:szCs w:val="21"/>
              </w:rPr>
            </w:pPr>
            <w:r>
              <w:rPr>
                <w:rFonts w:hint="eastAsia" w:ascii="宋体" w:hAnsi="宋体" w:cs="宋体"/>
                <w:b/>
                <w:szCs w:val="21"/>
              </w:rPr>
              <w:t>（四）质量监控</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该专业团队高度重视教学质量，在学校质量管理与评估办公室的指导下，质量管理体系健全、运行良好，多年办学形成了多元化的质量监控机制。全程监控、全员参与、持续改进有力地保证了教学质量的不断提高。</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1.质量管理体系健全，运行良好</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计算机工程学院领导高度重视教学质量，教学质量由院长牵头，由教学副院长负责教学质量管理工作，实行了“教学工作检查制”，“专家领导听课制”等，形成全方位多渠道的质量管理体系。</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2.形成了多元化质量监控机制，运行效果良好</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建立了领导听课、校院两级教学督导听课、教研室教师互听课制度。建立学生信息反馈制度及定期开展学生座谈会的制度，并由计算机工程学院院长负责，认真执行学校教学督导条例。确保教学秩序有序进行，保证教学质量。</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3.教学质量保障机制运行效果良好</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1）完善教学管理，规范教学过程。近年来，通过教学质量保障体系的建立与实施，增强了各级教学管理人员以及广大教师的质量意识，规范了教学过程。各教学评价程序和方法的科学与完善，加强了教学管理和教学的基本建设，使各级教学部门准确地获得教学反馈信息，及时指导和监控教学工作，保证了教学有序、平稳地运行。</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2）坚持“以评促建，以评促改”。通过各类评估活动，不断的规范与改进本专业各项建设活动。通过教学质量监控，使教师在教学过程中不断规范自身的教学方法和手段，达到不断改进、优化教学过程的目的。</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3）加强教学信息的交流。通过开展精品课，网络课等资源共享项目，使教师能充分汲取各家之长。通过网上评教、学生信息月报、督导信息反馈等手段，使各教师了解自己在全院教学中的相对水平和具体情况，不断改进教学、完善自我。</w:t>
            </w:r>
          </w:p>
          <w:p>
            <w:pPr>
              <w:widowControl/>
              <w:spacing w:line="400" w:lineRule="exact"/>
              <w:ind w:firstLine="422" w:firstLineChars="200"/>
              <w:rPr>
                <w:rFonts w:ascii="宋体" w:hAnsi="宋体" w:cs="宋体"/>
                <w:b/>
                <w:szCs w:val="21"/>
              </w:rPr>
            </w:pPr>
            <w:r>
              <w:rPr>
                <w:rFonts w:hint="eastAsia" w:ascii="宋体" w:hAnsi="宋体" w:cs="宋体"/>
                <w:b/>
                <w:szCs w:val="21"/>
              </w:rPr>
              <w:t>（五）实验教学</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实验教学是工科专业人才培养的重要环节，是实现培养目标的关键保障。我们认真制定实践教学体系，使之包括课程实验、认识实习、生产实习、课程设计、毕业实习、毕业设计等诸多内容，并在教学人员安排、场所安排、管理环节等多个层次上精心组织，保障实验教学的质量和效果。</w:t>
            </w:r>
          </w:p>
          <w:p>
            <w:pPr>
              <w:widowControl/>
              <w:spacing w:line="400" w:lineRule="exact"/>
              <w:ind w:firstLine="420" w:firstLineChars="200"/>
              <w:rPr>
                <w:rFonts w:ascii="宋体" w:hAnsi="宋体" w:cs="宋体"/>
                <w:kern w:val="0"/>
                <w:szCs w:val="21"/>
                <w:lang w:bidi="en-US"/>
              </w:rPr>
            </w:pPr>
            <w:r>
              <w:rPr>
                <w:rFonts w:hint="eastAsia" w:ascii="宋体" w:hAnsi="宋体" w:cs="宋体"/>
                <w:kern w:val="0"/>
                <w:szCs w:val="21"/>
                <w:lang w:bidi="en-US"/>
              </w:rPr>
              <w:t>严格按照实验教学大纲要求，本专业实验开出率达100%。软件工程专业实践（实验）课程开设情况及综合性、设计性实验开出情况统计如下（表9所示）。</w:t>
            </w:r>
          </w:p>
          <w:p>
            <w:pPr>
              <w:widowControl/>
              <w:spacing w:line="400" w:lineRule="exact"/>
              <w:jc w:val="center"/>
              <w:rPr>
                <w:rFonts w:ascii="宋体" w:hAnsi="宋体" w:cs="宋体"/>
                <w:b/>
                <w:kern w:val="0"/>
                <w:szCs w:val="21"/>
                <w:lang w:bidi="en-US"/>
              </w:rPr>
            </w:pPr>
            <w:r>
              <w:rPr>
                <w:rFonts w:hint="eastAsia" w:ascii="宋体" w:hAnsi="宋体" w:cs="宋体"/>
                <w:b/>
                <w:kern w:val="0"/>
                <w:szCs w:val="21"/>
                <w:lang w:bidi="en-US"/>
              </w:rPr>
              <w:t xml:space="preserve">表9 </w:t>
            </w:r>
            <w:r>
              <w:rPr>
                <w:rFonts w:ascii="宋体" w:hAnsi="宋体" w:cs="宋体"/>
                <w:b/>
                <w:kern w:val="0"/>
                <w:szCs w:val="21"/>
                <w:lang w:bidi="en-US"/>
              </w:rPr>
              <w:t xml:space="preserve"> </w:t>
            </w:r>
            <w:r>
              <w:rPr>
                <w:rFonts w:hint="eastAsia" w:ascii="宋体" w:hAnsi="宋体" w:cs="宋体"/>
                <w:b/>
                <w:kern w:val="0"/>
                <w:szCs w:val="21"/>
                <w:lang w:bidi="en-US"/>
              </w:rPr>
              <w:t>实践（实验）及综合性和设计性实验开出情况一览表</w:t>
            </w:r>
          </w:p>
          <w:tbl>
            <w:tblPr>
              <w:tblStyle w:val="6"/>
              <w:tblW w:w="7938" w:type="dxa"/>
              <w:jc w:val="center"/>
              <w:tblLayout w:type="fixed"/>
              <w:tblCellMar>
                <w:top w:w="0" w:type="dxa"/>
                <w:left w:w="108" w:type="dxa"/>
                <w:bottom w:w="0" w:type="dxa"/>
                <w:right w:w="108" w:type="dxa"/>
              </w:tblCellMar>
            </w:tblPr>
            <w:tblGrid>
              <w:gridCol w:w="667"/>
              <w:gridCol w:w="3118"/>
              <w:gridCol w:w="1560"/>
              <w:gridCol w:w="2593"/>
            </w:tblGrid>
            <w:tr>
              <w:tblPrEx>
                <w:tblCellMar>
                  <w:top w:w="0" w:type="dxa"/>
                  <w:left w:w="108" w:type="dxa"/>
                  <w:bottom w:w="0" w:type="dxa"/>
                  <w:right w:w="108" w:type="dxa"/>
                </w:tblCellMar>
              </w:tblPrEx>
              <w:trPr>
                <w:jc w:val="center"/>
              </w:trPr>
              <w:tc>
                <w:tcPr>
                  <w:tcW w:w="6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序号</w:t>
                  </w:r>
                </w:p>
              </w:tc>
              <w:tc>
                <w:tcPr>
                  <w:tcW w:w="3118"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开设实践（实验）课程</w:t>
                  </w:r>
                </w:p>
              </w:tc>
              <w:tc>
                <w:tcPr>
                  <w:tcW w:w="1560"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是否独立设课</w:t>
                  </w:r>
                </w:p>
              </w:tc>
              <w:tc>
                <w:tcPr>
                  <w:tcW w:w="2593"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是否有综合性/设计性实验</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1</w:t>
                  </w:r>
                </w:p>
              </w:tc>
              <w:tc>
                <w:tcPr>
                  <w:tcW w:w="3118"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大学物理实验C</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数字逻辑实验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3</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程序设计基础实验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4</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计算机系统基础实验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5</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数据结构与算法实验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6</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数据库概论实验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7</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计算机网络实验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8</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面向对象程序设计实验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9</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系统分析与建模实验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10</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手机应用编程实验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11</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J2SE轻量级框架设计实验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12</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C#程序设计实验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13</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PHP技术实验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14</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人工智能导论实验</w:t>
                  </w:r>
                </w:p>
              </w:tc>
              <w:tc>
                <w:tcPr>
                  <w:tcW w:w="156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15</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Python程序设计实验</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color w:val="FF0000"/>
                      <w:sz w:val="18"/>
                      <w:szCs w:val="18"/>
                    </w:rPr>
                  </w:pPr>
                  <w:r>
                    <w:rPr>
                      <w:rFonts w:hint="eastAsia" w:ascii="仿宋" w:hAnsi="仿宋" w:eastAsia="仿宋"/>
                      <w:sz w:val="18"/>
                      <w:szCs w:val="18"/>
                    </w:rPr>
                    <w:t>16</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计算机组装维护与办公软件应用实训</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17</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程序设计基础课程设计</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18</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数据结构与算法课程设计</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19</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面向对象程序设计课程设计</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20</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手机应用编程课程设计</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21</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软件工程职业实践</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22</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宋体"/>
                      <w:sz w:val="18"/>
                      <w:szCs w:val="18"/>
                    </w:rPr>
                  </w:pPr>
                  <w:r>
                    <w:rPr>
                      <w:rFonts w:hint="eastAsia" w:ascii="仿宋" w:hAnsi="仿宋" w:eastAsia="仿宋"/>
                      <w:sz w:val="18"/>
                      <w:szCs w:val="18"/>
                    </w:rPr>
                    <w:t xml:space="preserve">毕业综合实习 </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宋体"/>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宋体"/>
                      <w:sz w:val="18"/>
                      <w:szCs w:val="18"/>
                    </w:rPr>
                  </w:pPr>
                  <w:r>
                    <w:rPr>
                      <w:rFonts w:hint="eastAsia" w:ascii="仿宋" w:hAnsi="仿宋" w:eastAsia="仿宋"/>
                      <w:sz w:val="18"/>
                      <w:szCs w:val="18"/>
                    </w:rPr>
                    <w:t>是</w:t>
                  </w:r>
                </w:p>
              </w:tc>
            </w:tr>
            <w:tr>
              <w:tblPrEx>
                <w:tblCellMar>
                  <w:top w:w="0" w:type="dxa"/>
                  <w:left w:w="108" w:type="dxa"/>
                  <w:bottom w:w="0" w:type="dxa"/>
                  <w:right w:w="108" w:type="dxa"/>
                </w:tblCellMar>
              </w:tblPrEx>
              <w:trPr>
                <w:jc w:val="center"/>
              </w:trPr>
              <w:tc>
                <w:tcPr>
                  <w:tcW w:w="66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sz w:val="18"/>
                      <w:szCs w:val="18"/>
                    </w:rPr>
                  </w:pPr>
                  <w:r>
                    <w:rPr>
                      <w:rFonts w:hint="eastAsia" w:ascii="仿宋" w:hAnsi="仿宋" w:eastAsia="仿宋"/>
                      <w:sz w:val="18"/>
                      <w:szCs w:val="18"/>
                    </w:rPr>
                    <w:t>23</w:t>
                  </w:r>
                </w:p>
              </w:tc>
              <w:tc>
                <w:tcPr>
                  <w:tcW w:w="31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宋体"/>
                      <w:sz w:val="18"/>
                      <w:szCs w:val="18"/>
                    </w:rPr>
                  </w:pPr>
                  <w:r>
                    <w:rPr>
                      <w:rFonts w:hint="eastAsia" w:ascii="仿宋" w:hAnsi="仿宋" w:eastAsia="仿宋"/>
                      <w:sz w:val="18"/>
                      <w:szCs w:val="18"/>
                    </w:rPr>
                    <w:t>毕业设计（论文）</w:t>
                  </w:r>
                </w:p>
              </w:tc>
              <w:tc>
                <w:tcPr>
                  <w:tcW w:w="156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宋体"/>
                      <w:sz w:val="18"/>
                      <w:szCs w:val="18"/>
                    </w:rPr>
                  </w:pPr>
                  <w:r>
                    <w:rPr>
                      <w:rFonts w:hint="eastAsia" w:ascii="仿宋" w:hAnsi="仿宋" w:eastAsia="仿宋"/>
                      <w:sz w:val="18"/>
                      <w:szCs w:val="18"/>
                    </w:rPr>
                    <w:t>是</w:t>
                  </w:r>
                </w:p>
              </w:tc>
              <w:tc>
                <w:tcPr>
                  <w:tcW w:w="2593"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宋体"/>
                      <w:sz w:val="18"/>
                      <w:szCs w:val="18"/>
                    </w:rPr>
                  </w:pPr>
                  <w:r>
                    <w:rPr>
                      <w:rFonts w:hint="eastAsia" w:ascii="仿宋" w:hAnsi="仿宋" w:eastAsia="仿宋"/>
                      <w:sz w:val="18"/>
                      <w:szCs w:val="18"/>
                    </w:rPr>
                    <w:t>是</w:t>
                  </w:r>
                </w:p>
              </w:tc>
            </w:tr>
          </w:tbl>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此外，在本专业集中实践教学环节设有：计算机组装维护与办公软件应用实训、程序设计基础课程设计、面向对象程序设计课程设计、手机应用编程课程设计、软件工程职业实践、专业见习、毕业综合实习</w:t>
            </w:r>
            <w:r>
              <w:rPr>
                <w:rFonts w:ascii="宋体" w:hAnsi="宋体" w:cs="宋体"/>
                <w:kern w:val="0"/>
                <w:szCs w:val="21"/>
                <w:lang w:bidi="en-US"/>
              </w:rPr>
              <w:t>、</w:t>
            </w:r>
            <w:r>
              <w:rPr>
                <w:rFonts w:hint="eastAsia" w:ascii="宋体" w:hAnsi="宋体" w:cs="宋体"/>
                <w:kern w:val="0"/>
                <w:szCs w:val="21"/>
                <w:lang w:bidi="en-US"/>
              </w:rPr>
              <w:t>毕业设计（论文）等，实践性教学环节共32周。在教学过程中，认真组织实施，使计划、落实满足了教学大纲的要求，得到了较好的效果。建立了严格的实习监控考核、评分评比制度。</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建立课外课堂，指导学生参加安徽省“蓝桥杯”软件和信息技术大赛、“恩智浦”杯全国大学生智能车竞赛、安徽省物联网应用创新大赛、安徽省计算机程序设计大赛、全国大学生数学建模大赛等各类学科竞赛，并取得比较好的成绩，提高了学生的动手能力及创新能力。同时，组织学生开展丰富多彩的社会实践活动，培养学生适应社会的能力。</w:t>
            </w:r>
          </w:p>
          <w:p>
            <w:pPr>
              <w:widowControl/>
              <w:spacing w:line="400" w:lineRule="exact"/>
              <w:ind w:firstLine="422" w:firstLineChars="200"/>
              <w:rPr>
                <w:rFonts w:ascii="宋体" w:hAnsi="宋体" w:cs="宋体"/>
                <w:b/>
                <w:kern w:val="0"/>
                <w:szCs w:val="21"/>
                <w:lang w:bidi="en-US"/>
              </w:rPr>
            </w:pPr>
            <w:r>
              <w:rPr>
                <w:rFonts w:hint="eastAsia" w:ascii="宋体" w:hAnsi="宋体" w:cs="宋体"/>
                <w:b/>
                <w:kern w:val="0"/>
                <w:szCs w:val="21"/>
                <w:lang w:bidi="en-US"/>
              </w:rPr>
              <w:t>五、教学效果</w:t>
            </w:r>
          </w:p>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（一）学生基本功</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学院高度重视学生基本理论学习，始终以提高教学质量为核心，注意帮助学生掌握科学的学习方法，有效提高学生的学习能力、综合运用知识能力和动手能力。</w:t>
            </w:r>
          </w:p>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（二）学生综合素质</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1.加强学风班风建设，</w:t>
            </w:r>
            <w:r>
              <w:rPr>
                <w:rFonts w:ascii="宋体" w:hAnsi="宋体" w:cs="宋体"/>
                <w:kern w:val="0"/>
                <w:szCs w:val="21"/>
                <w:lang w:bidi="en-US"/>
              </w:rPr>
              <w:t>通过丰富多彩的活动，塑造优良学风。</w:t>
            </w:r>
            <w:r>
              <w:rPr>
                <w:rFonts w:hint="eastAsia" w:ascii="宋体" w:hAnsi="宋体" w:cs="宋体"/>
                <w:kern w:val="0"/>
                <w:szCs w:val="21"/>
                <w:lang w:bidi="en-US"/>
              </w:rPr>
              <w:t>具体措施如下：</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（1）坚持开展学风班风建设，形成良好的制度。</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（2）严格学籍管理。</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（3）</w:t>
            </w:r>
            <w:r>
              <w:rPr>
                <w:rFonts w:ascii="宋体" w:hAnsi="宋体" w:cs="宋体"/>
                <w:kern w:val="0"/>
                <w:szCs w:val="21"/>
                <w:lang w:bidi="en-US"/>
              </w:rPr>
              <w:t>严抓考风考纪的教育与管理</w:t>
            </w:r>
            <w:r>
              <w:rPr>
                <w:rFonts w:hint="eastAsia" w:ascii="宋体" w:hAnsi="宋体" w:cs="宋体"/>
                <w:kern w:val="0"/>
                <w:szCs w:val="21"/>
                <w:lang w:bidi="en-US"/>
              </w:rPr>
              <w:t>。</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（4）大抓上课出勤率、违纪率、课程及格率、大学英语四级通过率等多方面的工作与管理。成立系大学生自律委员会，促进学生自律意识的培养。</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（5）开展课外科技活动和文化活动。</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（6）抓好的典型，在学生中开展评优活动，奖励先进。</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通过以上措施，激发了学生的学习热情，提高了学生的学习积极性、主动性，促进了他们德智体美全面发展。</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2.外语与计算机等级通过率</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根据人才培养目标要求，坚持知识、能力、素质三位一体，丰富学生知识结构，着力推进素质教育。积极配合大学英语等公共基础课程教育，截止到2020年底，2017级软件工程专业已有1/3的学生通过了国家英语四级考试及计算机等级考试，2021年上半年还会有更多的学生通过。</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3.学生考试成绩</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2017级软件工程专业学生学习的专业主干课程成绩进行统计，该专业主干课程平均成绩达到75分以上。</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4.毕业生就业率</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2017级软件工程专业毕业生就业率达到100%。</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5.努力提高学生的思想品质和心理素质</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坚持</w:t>
            </w:r>
            <w:r>
              <w:rPr>
                <w:rFonts w:ascii="宋体" w:hAnsi="宋体" w:cs="宋体"/>
                <w:kern w:val="0"/>
                <w:szCs w:val="21"/>
                <w:lang w:bidi="en-US"/>
              </w:rPr>
              <w:t>“</w:t>
            </w:r>
            <w:r>
              <w:rPr>
                <w:rFonts w:hint="eastAsia" w:ascii="宋体" w:hAnsi="宋体" w:cs="宋体"/>
                <w:kern w:val="0"/>
                <w:szCs w:val="21"/>
                <w:lang w:bidi="en-US"/>
              </w:rPr>
              <w:t>育人为本、德育为先、全面发展</w:t>
            </w:r>
            <w:r>
              <w:rPr>
                <w:rFonts w:ascii="宋体" w:hAnsi="宋体" w:cs="宋体"/>
                <w:kern w:val="0"/>
                <w:szCs w:val="21"/>
                <w:lang w:bidi="en-US"/>
              </w:rPr>
              <w:t>”</w:t>
            </w:r>
            <w:r>
              <w:rPr>
                <w:rFonts w:hint="eastAsia" w:ascii="宋体" w:hAnsi="宋体" w:cs="宋体"/>
                <w:kern w:val="0"/>
                <w:szCs w:val="21"/>
                <w:lang w:bidi="en-US"/>
              </w:rPr>
              <w:t>的教育理念，建立了一支结构合理、相对稳定的学生思想政治教育和心理辅导工作队伍；逐步形成了教书育人、管理育人、服务育人的全员育人工作局面。</w:t>
            </w:r>
          </w:p>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（三）学生专业知识、创新能力、社会评价及就业</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坚持“以赛促教、以赛促学、以赛促改”，基本形成了“学赛相长”的良性循环。鼓励学生广泛参加本专业相关的各类学科竞赛活动。近三年来，本专业学生坚持参加安徽省首届机器人挑战赛（高级对抗赛）、“蓝桥杯”软件和信息技术大赛、全国大学生数学建模竞赛、“恩智浦”杯全国大学生智能汽车竞赛、安徽省物联网应用创新大赛、安徽省网络与分布式系统设计大赛、交通安全科技大赛、计算机程序设计大赛等大学生学科竞赛，共获得42个奖项，其中国家级奖项8个、省级奖项31个，硕果累累。自2017年3月以来，本专业学生作为学生负责人（学生组长），获批国家级、省（校）级大学生创新创业实践项目共23项，以第一作者身份公开发表论文5篇。通过组织学生参加各级各类学科竞赛，提高学生的专业实践及创新、创业能力。</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为充分了解和听取用人单位对毕业生的评价和建议，学院对安徽晶奇网络科技股份有限公司、芜湖凡臣电子商务有限公司、安徽冠邦鼎畅商贸有限公司、北京汇众益智科技有限公司合肥分公司、合肥阳光雨露信息技术服务有限公司、安徽三联交通应用技术股份有限公司、上海东方激光教育文化有限公司等用人单位对毕业生满意度调查，主要从毕业生专业技能、实践能力、职业素养等方面设计调查，用人单位对该专业的毕业生满意度达到95%以上，尤其在毕业生思想品德、敬业精神、工作态度、专业知识、工作能力、创新能力的综合评价反映满意，普遍反映毕业生动手能力较强，综合素质较高。</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目前，本专业学生已经赢得不少用人单位的好感，有部分用人单位已经向我们的学生伸出橄榄枝，预定他们实习和就业的去向。</w:t>
            </w:r>
          </w:p>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六、本科毕业设计（论文）</w:t>
            </w:r>
          </w:p>
          <w:p>
            <w:pPr>
              <w:widowControl/>
              <w:spacing w:line="400" w:lineRule="exact"/>
              <w:ind w:firstLine="422" w:firstLineChars="200"/>
              <w:rPr>
                <w:rFonts w:ascii="宋体" w:hAnsi="宋体" w:cs="宋体"/>
                <w:b/>
                <w:szCs w:val="21"/>
              </w:rPr>
            </w:pPr>
            <w:r>
              <w:rPr>
                <w:rFonts w:hint="eastAsia" w:ascii="宋体" w:hAnsi="宋体" w:cs="宋体"/>
                <w:b/>
                <w:szCs w:val="21"/>
              </w:rPr>
              <w:t>（一）基本规范要求</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本科毕业设计（论文）是培养具有创新精神和实践能力的重要教学环节，是评价学生综合素质、专业技术、思维方法和实践能力的重要内容。为进一步做好我院本科毕业设计（论文）工作，提高本科毕业设计（论文）的质量，根据《关于印发&lt;安徽三联学院本科毕业设计（论文）工作规程&gt;的通知》要求，结合我院实际，制定了严格要求，主要有：</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1.组织机构</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（1）工作职责</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毕业设计（论文）指导小组在院长领导下，依据《安徽三联学院本科毕业设计（论文）工作规程》对本科毕业论文(设计)工作的全过程进行指导、督促和检查，促进毕业设计（论文）工作规范化管理，对毕业设计（论文）的质量把关，并在毕业答辩的组织、毕业设计（论文）评审和成绩评定等项工作中担负指导、帮助和协调的责任。</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（2）工作内容</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①分工检查开题报告的完成情况、完成进度与完成质量。</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②分工检查阶段性任务进展情况，包括：指导教师与学生的约见情况、“毕业设计（论文）过程检查记录表”填写情况、编程与实验完成情况、论文撰写情况、答辩准备情况等。</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③分工进行毕业设计（论文）质量检查，协助毕业答辩。</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④分工检查毕业设计（论文）的评审意见与评分情况。</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2.成立毕业设计（论文）工作指导领导小组</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组  长：张继山</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 xml:space="preserve">顾  问：陈蕴     </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副组长：潘立琼、肖刚、郑春</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秘  书：钱佳佳、李小为、赵祥永</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3.进度安排</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毕业设计（论文）工作时间从2020年6月开始，到2021年4月中旬左右结束。</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（1）论文前期（2020年6月-2020年9月中旬），包括毕业设计（论文）动员与选题，下达任务，开题和前期检查等；</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（2）论文中期（2020年10月初-2021年2月底），包括系统开发、论文初稿和终稿的撰写和中期检查等；</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（3）论文后期（2021年3月-2021年4月中旬），包括论文评阅、论文查重、答辩组织、成绩评定、论文归档、工作总结和后期检查阶段。</w:t>
            </w:r>
          </w:p>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（二）选题</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毕业设计的选题是保证毕业设计质量的重要保证。在毕业设计的选题安排上，采取如下措施：</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1.按照论文多样化，体现应用型人才培养，安排学院讲师及以上职称，有丰富教学经验，且专业知识、综合素质过硬的专职老师，以及与企业、高职称的外聘教师共同组织担当起这项任务。</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2.对指导教师资格进行审查。</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3.指导教师根据专业培养目标要求申报毕业设计（论文）选题。</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4.院(部)结合专业要求审查各申报选题，确定选题。</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5.公示选题，指导教师、学生双向选择，院(部)调整并确定选题结果。</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6.院(部)将选题情况汇总后报送教务处备案。</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通过上面的6个过程，我们就能有效保证选题的性质、难度、份量及专业相关性，使得选题从整体上做到科学合理、才能较好地达到培养目标和综合训练的要求。</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2017级本科软件工程专业58位学生的毕业设计（论文）题目统计分析表，见表10。</w:t>
            </w:r>
          </w:p>
          <w:p>
            <w:pPr>
              <w:widowControl/>
              <w:spacing w:line="400" w:lineRule="exact"/>
              <w:jc w:val="center"/>
              <w:rPr>
                <w:rFonts w:ascii="宋体" w:hAnsi="宋体" w:cs="宋体"/>
                <w:b/>
                <w:color w:val="000000" w:themeColor="text1"/>
                <w:kern w:val="0"/>
                <w:szCs w:val="21"/>
                <w:lang w:bidi="en-US"/>
                <w14:textFill>
                  <w14:solidFill>
                    <w14:schemeClr w14:val="tx1"/>
                  </w14:solidFill>
                </w14:textFill>
              </w:rPr>
            </w:pPr>
            <w:r>
              <w:rPr>
                <w:rFonts w:hint="eastAsia" w:ascii="宋体" w:hAnsi="宋体" w:cs="宋体"/>
                <w:b/>
                <w:color w:val="000000" w:themeColor="text1"/>
                <w:kern w:val="0"/>
                <w:szCs w:val="21"/>
                <w:lang w:bidi="en-US"/>
                <w14:textFill>
                  <w14:solidFill>
                    <w14:schemeClr w14:val="tx1"/>
                  </w14:solidFill>
                </w14:textFill>
              </w:rPr>
              <w:t>表10</w:t>
            </w:r>
            <w:r>
              <w:rPr>
                <w:rFonts w:ascii="宋体" w:hAnsi="宋体" w:cs="宋体"/>
                <w:b/>
                <w:color w:val="000000" w:themeColor="text1"/>
                <w:kern w:val="0"/>
                <w:szCs w:val="21"/>
                <w:lang w:bidi="en-US"/>
                <w14:textFill>
                  <w14:solidFill>
                    <w14:schemeClr w14:val="tx1"/>
                  </w14:solidFill>
                </w14:textFill>
              </w:rPr>
              <w:t xml:space="preserve"> </w:t>
            </w:r>
            <w:r>
              <w:rPr>
                <w:rFonts w:hint="eastAsia" w:ascii="宋体" w:hAnsi="宋体" w:cs="宋体"/>
                <w:b/>
                <w:color w:val="000000" w:themeColor="text1"/>
                <w:kern w:val="0"/>
                <w:szCs w:val="21"/>
                <w:lang w:bidi="en-US"/>
                <w14:textFill>
                  <w14:solidFill>
                    <w14:schemeClr w14:val="tx1"/>
                  </w14:solidFill>
                </w14:textFill>
              </w:rPr>
              <w:t xml:space="preserve"> 2021届软件工程专业毕业设计（论文）题目统计分析表</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72"/>
              <w:gridCol w:w="1372"/>
              <w:gridCol w:w="1372"/>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选题类型</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应用研究</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生产实践</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设计类研究</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理论研究</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数  量</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10</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36</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9</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2</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比  例</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17.24%</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62.07%</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15.52%</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3.45%</w:t>
                  </w:r>
                </w:p>
              </w:tc>
              <w:tc>
                <w:tcPr>
                  <w:tcW w:w="833" w:type="pct"/>
                  <w:shd w:val="clear" w:color="auto" w:fill="auto"/>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1.72%</w:t>
                  </w:r>
                </w:p>
              </w:tc>
            </w:tr>
          </w:tbl>
          <w:p>
            <w:pPr>
              <w:widowControl/>
              <w:spacing w:line="400" w:lineRule="exact"/>
              <w:ind w:firstLine="422" w:firstLineChars="200"/>
              <w:jc w:val="left"/>
              <w:rPr>
                <w:rFonts w:ascii="宋体" w:hAnsi="宋体" w:cs="宋体"/>
                <w:b/>
                <w:color w:val="000000" w:themeColor="text1"/>
                <w:kern w:val="0"/>
                <w:szCs w:val="21"/>
                <w:lang w:bidi="en-US"/>
                <w14:textFill>
                  <w14:solidFill>
                    <w14:schemeClr w14:val="tx1"/>
                  </w14:solidFill>
                </w14:textFill>
              </w:rPr>
            </w:pPr>
            <w:r>
              <w:rPr>
                <w:rFonts w:hint="eastAsia" w:ascii="宋体" w:hAnsi="宋体" w:cs="宋体"/>
                <w:b/>
                <w:color w:val="000000" w:themeColor="text1"/>
                <w:kern w:val="0"/>
                <w:szCs w:val="21"/>
                <w:lang w:bidi="en-US"/>
                <w14:textFill>
                  <w14:solidFill>
                    <w14:schemeClr w14:val="tx1"/>
                  </w14:solidFill>
                </w14:textFill>
              </w:rPr>
              <w:t>（三）指导</w:t>
            </w:r>
          </w:p>
          <w:p>
            <w:pPr>
              <w:widowControl/>
              <w:spacing w:line="400" w:lineRule="exact"/>
              <w:ind w:firstLine="420" w:firstLineChars="200"/>
              <w:jc w:val="left"/>
              <w:rPr>
                <w:rFonts w:ascii="宋体" w:hAnsi="宋体" w:cs="宋体"/>
                <w:kern w:val="0"/>
                <w:szCs w:val="21"/>
                <w:lang w:bidi="en-US"/>
              </w:rPr>
            </w:pPr>
            <w:r>
              <w:rPr>
                <w:rFonts w:hint="eastAsia" w:ascii="宋体" w:hAnsi="宋体" w:cs="宋体"/>
                <w:kern w:val="0"/>
                <w:szCs w:val="21"/>
                <w:lang w:bidi="en-US"/>
              </w:rPr>
              <w:t>2017级软件工程专业学生的毕业设计（论文）指导教师包含了部分本专业老师、我校其他计算机类专业的部分教师、以及企业工程师，总共21人。其中，教授3人,副教授（高级工程师）9人,讲师5人，助教4人（全部具有硕士学位），具备讲师及以上职称的指导教师比例达到80.95%。指导教师中，45岁以上4人，35-45岁11人，35岁以下6人。参与毕业设计（论文）指导的教师，其职称、学历、年龄等情况如下，见表11。</w:t>
            </w:r>
          </w:p>
          <w:p>
            <w:pPr>
              <w:widowControl/>
              <w:spacing w:line="400" w:lineRule="exact"/>
              <w:jc w:val="center"/>
              <w:rPr>
                <w:rFonts w:ascii="宋体" w:hAnsi="宋体" w:cs="宋体"/>
                <w:b/>
                <w:color w:val="000000" w:themeColor="text1"/>
                <w:kern w:val="0"/>
                <w:szCs w:val="21"/>
                <w:lang w:bidi="en-US"/>
                <w14:textFill>
                  <w14:solidFill>
                    <w14:schemeClr w14:val="tx1"/>
                  </w14:solidFill>
                </w14:textFill>
              </w:rPr>
            </w:pPr>
            <w:r>
              <w:rPr>
                <w:rFonts w:hint="eastAsia" w:ascii="宋体" w:hAnsi="宋体" w:cs="宋体"/>
                <w:b/>
                <w:color w:val="000000" w:themeColor="text1"/>
                <w:kern w:val="0"/>
                <w:szCs w:val="21"/>
                <w:lang w:bidi="en-US"/>
                <w14:textFill>
                  <w14:solidFill>
                    <w14:schemeClr w14:val="tx1"/>
                  </w14:solidFill>
                </w14:textFill>
              </w:rPr>
              <w:t xml:space="preserve">表11 </w:t>
            </w:r>
            <w:r>
              <w:rPr>
                <w:rFonts w:ascii="宋体" w:hAnsi="宋体" w:cs="宋体"/>
                <w:b/>
                <w:color w:val="000000" w:themeColor="text1"/>
                <w:kern w:val="0"/>
                <w:szCs w:val="21"/>
                <w:lang w:bidi="en-US"/>
                <w14:textFill>
                  <w14:solidFill>
                    <w14:schemeClr w14:val="tx1"/>
                  </w14:solidFill>
                </w14:textFill>
              </w:rPr>
              <w:t xml:space="preserve"> </w:t>
            </w:r>
            <w:r>
              <w:rPr>
                <w:rFonts w:hint="eastAsia" w:ascii="宋体" w:hAnsi="宋体" w:cs="宋体"/>
                <w:b/>
                <w:color w:val="000000" w:themeColor="text1"/>
                <w:kern w:val="0"/>
                <w:szCs w:val="21"/>
                <w:lang w:bidi="en-US"/>
                <w14:textFill>
                  <w14:solidFill>
                    <w14:schemeClr w14:val="tx1"/>
                  </w14:solidFill>
                </w14:textFill>
              </w:rPr>
              <w:t>毕业设计（论文）指导教师的职称、学历、年龄结构</w:t>
            </w:r>
          </w:p>
          <w:tbl>
            <w:tblPr>
              <w:tblStyle w:val="6"/>
              <w:tblW w:w="8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8"/>
              <w:gridCol w:w="992"/>
              <w:gridCol w:w="709"/>
              <w:gridCol w:w="709"/>
              <w:gridCol w:w="709"/>
              <w:gridCol w:w="708"/>
              <w:gridCol w:w="709"/>
              <w:gridCol w:w="851"/>
              <w:gridCol w:w="992"/>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18" w:type="dxa"/>
                  <w:vMerge w:val="restart"/>
                  <w:shd w:val="clear" w:color="auto" w:fill="auto"/>
                  <w:vAlign w:val="center"/>
                </w:tcPr>
                <w:p>
                  <w:pPr>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总数</w:t>
                  </w:r>
                </w:p>
                <w:p>
                  <w:pPr>
                    <w:spacing w:line="400" w:lineRule="exact"/>
                    <w:jc w:val="center"/>
                    <w:rPr>
                      <w:rFonts w:ascii="宋体" w:hAnsi="宋体"/>
                      <w:color w:val="000000" w:themeColor="text1"/>
                      <w:szCs w:val="21"/>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21人</w:t>
                  </w:r>
                </w:p>
              </w:tc>
              <w:tc>
                <w:tcPr>
                  <w:tcW w:w="2410" w:type="dxa"/>
                  <w:gridSpan w:val="3"/>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职称结构</w:t>
                  </w:r>
                </w:p>
              </w:tc>
              <w:tc>
                <w:tcPr>
                  <w:tcW w:w="2126" w:type="dxa"/>
                  <w:gridSpan w:val="3"/>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学历结构</w:t>
                  </w:r>
                </w:p>
              </w:tc>
              <w:tc>
                <w:tcPr>
                  <w:tcW w:w="2967" w:type="dxa"/>
                  <w:gridSpan w:val="3"/>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年龄结构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18" w:type="dxa"/>
                  <w:vMerge w:val="continue"/>
                  <w:shd w:val="clear" w:color="auto" w:fill="auto"/>
                  <w:vAlign w:val="center"/>
                </w:tcPr>
                <w:p>
                  <w:pPr>
                    <w:spacing w:line="400" w:lineRule="exact"/>
                    <w:jc w:val="center"/>
                    <w:rPr>
                      <w:rFonts w:ascii="宋体" w:hAnsi="宋体"/>
                      <w:color w:val="000000" w:themeColor="text1"/>
                      <w:szCs w:val="21"/>
                      <w14:textFill>
                        <w14:solidFill>
                          <w14:schemeClr w14:val="tx1"/>
                        </w14:solidFill>
                      </w14:textFill>
                    </w:rPr>
                  </w:pPr>
                </w:p>
              </w:tc>
              <w:tc>
                <w:tcPr>
                  <w:tcW w:w="992"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副高及以上</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讲师</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助教</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博士</w:t>
                  </w:r>
                </w:p>
              </w:tc>
              <w:tc>
                <w:tcPr>
                  <w:tcW w:w="708"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硕士</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本科</w:t>
                  </w:r>
                </w:p>
              </w:tc>
              <w:tc>
                <w:tcPr>
                  <w:tcW w:w="851"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45岁以上</w:t>
                  </w:r>
                </w:p>
              </w:tc>
              <w:tc>
                <w:tcPr>
                  <w:tcW w:w="992"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35-45岁</w:t>
                  </w:r>
                </w:p>
              </w:tc>
              <w:tc>
                <w:tcPr>
                  <w:tcW w:w="1124"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35岁以下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18" w:type="dxa"/>
                  <w:vMerge w:val="continue"/>
                  <w:shd w:val="clear" w:color="auto" w:fill="auto"/>
                  <w:vAlign w:val="center"/>
                </w:tcPr>
                <w:p>
                  <w:pPr>
                    <w:spacing w:line="400" w:lineRule="exact"/>
                    <w:jc w:val="center"/>
                    <w:rPr>
                      <w:rFonts w:ascii="宋体" w:hAnsi="宋体"/>
                      <w:color w:val="000000" w:themeColor="text1"/>
                      <w:szCs w:val="21"/>
                      <w14:textFill>
                        <w14:solidFill>
                          <w14:schemeClr w14:val="tx1"/>
                        </w14:solidFill>
                      </w14:textFill>
                    </w:rPr>
                  </w:pPr>
                </w:p>
              </w:tc>
              <w:tc>
                <w:tcPr>
                  <w:tcW w:w="992"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12</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5</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4</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w:t>
                  </w:r>
                </w:p>
              </w:tc>
              <w:tc>
                <w:tcPr>
                  <w:tcW w:w="708"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19</w:t>
                  </w:r>
                </w:p>
              </w:tc>
              <w:tc>
                <w:tcPr>
                  <w:tcW w:w="709"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w:t>
                  </w:r>
                </w:p>
              </w:tc>
              <w:tc>
                <w:tcPr>
                  <w:tcW w:w="851"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4</w:t>
                  </w:r>
                </w:p>
              </w:tc>
              <w:tc>
                <w:tcPr>
                  <w:tcW w:w="992"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11</w:t>
                  </w:r>
                </w:p>
              </w:tc>
              <w:tc>
                <w:tcPr>
                  <w:tcW w:w="1124" w:type="dxa"/>
                  <w:shd w:val="clear" w:color="auto" w:fill="auto"/>
                  <w:vAlign w:val="center"/>
                </w:tcPr>
                <w:p>
                  <w:pPr>
                    <w:widowControl/>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r>
                    <w:rPr>
                      <w:rFonts w:hint="eastAsia" w:ascii="仿宋_GB2312" w:hAnsi="仿宋_GB2312" w:eastAsia="仿宋_GB2312" w:cs="仿宋_GB2312"/>
                      <w:color w:val="000000" w:themeColor="text1"/>
                      <w:kern w:val="0"/>
                      <w:sz w:val="18"/>
                      <w:szCs w:val="18"/>
                      <w:lang w:bidi="en-US"/>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18" w:type="dxa"/>
                  <w:vMerge w:val="continue"/>
                  <w:shd w:val="clear" w:color="auto" w:fill="auto"/>
                  <w:vAlign w:val="center"/>
                </w:tcPr>
                <w:p>
                  <w:pPr>
                    <w:spacing w:line="400" w:lineRule="exact"/>
                    <w:jc w:val="center"/>
                    <w:rPr>
                      <w:rFonts w:ascii="仿宋_GB2312" w:hAnsi="仿宋_GB2312" w:eastAsia="仿宋_GB2312" w:cs="仿宋_GB2312"/>
                      <w:color w:val="000000" w:themeColor="text1"/>
                      <w:kern w:val="0"/>
                      <w:sz w:val="18"/>
                      <w:szCs w:val="18"/>
                      <w:lang w:bidi="en-US"/>
                      <w14:textFill>
                        <w14:solidFill>
                          <w14:schemeClr w14:val="tx1"/>
                        </w14:solidFill>
                      </w14:textFill>
                    </w:rPr>
                  </w:pPr>
                </w:p>
              </w:tc>
              <w:tc>
                <w:tcPr>
                  <w:tcW w:w="992" w:type="dxa"/>
                  <w:shd w:val="clear" w:color="auto" w:fill="auto"/>
                  <w:vAlign w:val="center"/>
                </w:tcPr>
                <w:p>
                  <w:pPr>
                    <w:jc w:val="center"/>
                    <w:rPr>
                      <w:rFonts w:ascii="宋体" w:hAnsi="宋体" w:cs="宋体"/>
                      <w:color w:val="000000"/>
                      <w:sz w:val="18"/>
                      <w:szCs w:val="18"/>
                    </w:rPr>
                  </w:pPr>
                  <w:r>
                    <w:rPr>
                      <w:rFonts w:hint="eastAsia"/>
                      <w:color w:val="000000"/>
                      <w:sz w:val="18"/>
                      <w:szCs w:val="18"/>
                    </w:rPr>
                    <w:t>57.14%</w:t>
                  </w:r>
                </w:p>
              </w:tc>
              <w:tc>
                <w:tcPr>
                  <w:tcW w:w="709" w:type="dxa"/>
                  <w:shd w:val="clear" w:color="auto" w:fill="auto"/>
                  <w:vAlign w:val="center"/>
                </w:tcPr>
                <w:p>
                  <w:pPr>
                    <w:jc w:val="center"/>
                    <w:rPr>
                      <w:rFonts w:ascii="宋体" w:hAnsi="宋体" w:cs="宋体"/>
                      <w:color w:val="000000"/>
                      <w:sz w:val="18"/>
                      <w:szCs w:val="18"/>
                    </w:rPr>
                  </w:pPr>
                  <w:r>
                    <w:rPr>
                      <w:rFonts w:hint="eastAsia"/>
                      <w:color w:val="000000"/>
                      <w:sz w:val="18"/>
                      <w:szCs w:val="18"/>
                    </w:rPr>
                    <w:t>23.81%</w:t>
                  </w:r>
                </w:p>
              </w:tc>
              <w:tc>
                <w:tcPr>
                  <w:tcW w:w="709" w:type="dxa"/>
                  <w:shd w:val="clear" w:color="auto" w:fill="auto"/>
                  <w:vAlign w:val="center"/>
                </w:tcPr>
                <w:p>
                  <w:pPr>
                    <w:jc w:val="center"/>
                    <w:rPr>
                      <w:rFonts w:ascii="宋体" w:hAnsi="宋体" w:cs="宋体"/>
                      <w:color w:val="000000"/>
                      <w:sz w:val="18"/>
                      <w:szCs w:val="18"/>
                    </w:rPr>
                  </w:pPr>
                  <w:r>
                    <w:rPr>
                      <w:rFonts w:hint="eastAsia"/>
                      <w:color w:val="000000"/>
                      <w:sz w:val="18"/>
                      <w:szCs w:val="18"/>
                    </w:rPr>
                    <w:t>19.05%</w:t>
                  </w:r>
                </w:p>
              </w:tc>
              <w:tc>
                <w:tcPr>
                  <w:tcW w:w="709" w:type="dxa"/>
                  <w:shd w:val="clear" w:color="auto" w:fill="auto"/>
                  <w:vAlign w:val="center"/>
                </w:tcPr>
                <w:p>
                  <w:pPr>
                    <w:jc w:val="center"/>
                    <w:rPr>
                      <w:rFonts w:ascii="宋体" w:hAnsi="宋体" w:cs="宋体"/>
                      <w:color w:val="000000"/>
                      <w:sz w:val="18"/>
                      <w:szCs w:val="18"/>
                    </w:rPr>
                  </w:pPr>
                  <w:r>
                    <w:rPr>
                      <w:rFonts w:hint="eastAsia"/>
                      <w:color w:val="000000"/>
                      <w:sz w:val="18"/>
                      <w:szCs w:val="18"/>
                    </w:rPr>
                    <w:t>4.76%</w:t>
                  </w:r>
                </w:p>
              </w:tc>
              <w:tc>
                <w:tcPr>
                  <w:tcW w:w="708" w:type="dxa"/>
                  <w:shd w:val="clear" w:color="auto" w:fill="auto"/>
                  <w:vAlign w:val="center"/>
                </w:tcPr>
                <w:p>
                  <w:pPr>
                    <w:jc w:val="center"/>
                    <w:rPr>
                      <w:rFonts w:ascii="宋体" w:hAnsi="宋体" w:cs="宋体"/>
                      <w:color w:val="000000"/>
                      <w:sz w:val="18"/>
                      <w:szCs w:val="18"/>
                    </w:rPr>
                  </w:pPr>
                  <w:r>
                    <w:rPr>
                      <w:rFonts w:hint="eastAsia"/>
                      <w:color w:val="000000"/>
                      <w:sz w:val="18"/>
                      <w:szCs w:val="18"/>
                    </w:rPr>
                    <w:t>90.48%</w:t>
                  </w:r>
                </w:p>
              </w:tc>
              <w:tc>
                <w:tcPr>
                  <w:tcW w:w="709" w:type="dxa"/>
                  <w:shd w:val="clear" w:color="auto" w:fill="auto"/>
                  <w:vAlign w:val="center"/>
                </w:tcPr>
                <w:p>
                  <w:pPr>
                    <w:jc w:val="center"/>
                    <w:rPr>
                      <w:rFonts w:ascii="宋体" w:hAnsi="宋体" w:cs="宋体"/>
                      <w:color w:val="000000"/>
                      <w:sz w:val="18"/>
                      <w:szCs w:val="18"/>
                    </w:rPr>
                  </w:pPr>
                  <w:r>
                    <w:rPr>
                      <w:rFonts w:hint="eastAsia"/>
                      <w:color w:val="000000"/>
                      <w:sz w:val="18"/>
                      <w:szCs w:val="18"/>
                    </w:rPr>
                    <w:t>4.76%</w:t>
                  </w:r>
                </w:p>
              </w:tc>
              <w:tc>
                <w:tcPr>
                  <w:tcW w:w="851" w:type="dxa"/>
                  <w:shd w:val="clear" w:color="auto" w:fill="auto"/>
                  <w:vAlign w:val="center"/>
                </w:tcPr>
                <w:p>
                  <w:pPr>
                    <w:jc w:val="center"/>
                    <w:rPr>
                      <w:rFonts w:ascii="宋体" w:hAnsi="宋体" w:cs="宋体"/>
                      <w:color w:val="000000"/>
                      <w:sz w:val="18"/>
                      <w:szCs w:val="18"/>
                    </w:rPr>
                  </w:pPr>
                  <w:r>
                    <w:rPr>
                      <w:rFonts w:hint="eastAsia"/>
                      <w:color w:val="000000"/>
                      <w:sz w:val="18"/>
                      <w:szCs w:val="18"/>
                    </w:rPr>
                    <w:t>19.05%</w:t>
                  </w:r>
                </w:p>
              </w:tc>
              <w:tc>
                <w:tcPr>
                  <w:tcW w:w="992" w:type="dxa"/>
                  <w:shd w:val="clear" w:color="auto" w:fill="auto"/>
                  <w:vAlign w:val="center"/>
                </w:tcPr>
                <w:p>
                  <w:pPr>
                    <w:jc w:val="center"/>
                    <w:rPr>
                      <w:rFonts w:ascii="宋体" w:hAnsi="宋体" w:cs="宋体"/>
                      <w:color w:val="000000"/>
                      <w:sz w:val="18"/>
                      <w:szCs w:val="18"/>
                    </w:rPr>
                  </w:pPr>
                  <w:r>
                    <w:rPr>
                      <w:rFonts w:hint="eastAsia"/>
                      <w:color w:val="000000"/>
                      <w:sz w:val="18"/>
                      <w:szCs w:val="18"/>
                    </w:rPr>
                    <w:t>52.38%</w:t>
                  </w:r>
                </w:p>
              </w:tc>
              <w:tc>
                <w:tcPr>
                  <w:tcW w:w="1124" w:type="dxa"/>
                  <w:shd w:val="clear" w:color="auto" w:fill="auto"/>
                  <w:vAlign w:val="center"/>
                </w:tcPr>
                <w:p>
                  <w:pPr>
                    <w:jc w:val="center"/>
                    <w:rPr>
                      <w:rFonts w:ascii="宋体" w:hAnsi="宋体" w:cs="宋体"/>
                      <w:color w:val="000000"/>
                      <w:sz w:val="18"/>
                      <w:szCs w:val="18"/>
                    </w:rPr>
                  </w:pPr>
                  <w:r>
                    <w:rPr>
                      <w:rFonts w:hint="eastAsia"/>
                      <w:color w:val="000000"/>
                      <w:sz w:val="18"/>
                      <w:szCs w:val="18"/>
                    </w:rPr>
                    <w:t>28.57%</w:t>
                  </w:r>
                </w:p>
              </w:tc>
            </w:tr>
          </w:tbl>
          <w:p>
            <w:pPr>
              <w:widowControl/>
              <w:spacing w:line="400" w:lineRule="exact"/>
              <w:ind w:firstLine="422" w:firstLineChars="200"/>
              <w:jc w:val="left"/>
              <w:rPr>
                <w:rFonts w:ascii="宋体" w:hAnsi="宋体" w:cs="宋体"/>
                <w:b/>
                <w:kern w:val="0"/>
                <w:szCs w:val="21"/>
                <w:lang w:bidi="en-US"/>
              </w:rPr>
            </w:pPr>
            <w:r>
              <w:rPr>
                <w:rFonts w:hint="eastAsia" w:ascii="宋体" w:hAnsi="宋体" w:cs="宋体"/>
                <w:b/>
                <w:kern w:val="0"/>
                <w:szCs w:val="21"/>
                <w:lang w:bidi="en-US"/>
              </w:rPr>
              <w:t>（四）过程管理</w:t>
            </w:r>
          </w:p>
          <w:p>
            <w:pPr>
              <w:widowControl/>
              <w:spacing w:line="400" w:lineRule="exact"/>
              <w:ind w:firstLine="420" w:firstLineChars="200"/>
              <w:rPr>
                <w:rFonts w:hint="eastAsia" w:ascii="宋体" w:hAnsi="宋体" w:cs="宋体"/>
                <w:kern w:val="0"/>
                <w:szCs w:val="21"/>
                <w:lang w:bidi="en-US"/>
              </w:rPr>
            </w:pPr>
            <w:r>
              <w:rPr>
                <w:rFonts w:hint="eastAsia" w:ascii="宋体" w:hAnsi="宋体" w:cs="宋体"/>
                <w:kern w:val="0"/>
                <w:szCs w:val="21"/>
                <w:lang w:bidi="en-US"/>
              </w:rPr>
              <w:t>针对本专业2017级学生的毕业设计工作，成立了由计算机工程学院张继山院长为组长的本科毕业设计（论文）工作领导小组。领导小组制定了毕业设计指导教师的选派、选题、下达任务书、开题报告、中期检查、撰写、评阅、答辩、复议、档案管理、总结评优等一系列的具体的规定和要求，制定了任务书、开题报告、指导记录、专家评阅书、答辩记录、成绩单、优秀论文推荐表等一系列规范表格，真正要求做到过程管理严格、科学，并能有效保证论文和设计质量。</w:t>
            </w:r>
          </w:p>
          <w:p>
            <w:pPr>
              <w:widowControl/>
              <w:spacing w:line="400" w:lineRule="exact"/>
              <w:ind w:firstLine="420" w:firstLineChars="200"/>
              <w:rPr>
                <w:rFonts w:hint="eastAsia" w:ascii="宋体" w:hAnsi="宋体" w:cs="宋体"/>
                <w:kern w:val="0"/>
                <w:szCs w:val="21"/>
                <w:lang w:bidi="en-US"/>
              </w:rPr>
            </w:pPr>
            <w:r>
              <w:rPr>
                <w:rFonts w:hint="eastAsia" w:ascii="宋体" w:hAnsi="宋体" w:cs="宋体"/>
                <w:kern w:val="0"/>
                <w:szCs w:val="21"/>
                <w:lang w:bidi="en-US"/>
              </w:rPr>
              <w:t>综合以上</w:t>
            </w:r>
            <w:r>
              <w:rPr>
                <w:rFonts w:hint="eastAsia" w:ascii="宋体" w:hAnsi="宋体" w:cs="宋体"/>
                <w:kern w:val="0"/>
                <w:szCs w:val="21"/>
                <w:lang w:val="en-US" w:eastAsia="zh-CN" w:bidi="en-US"/>
              </w:rPr>
              <w:t>六</w:t>
            </w:r>
            <w:r>
              <w:rPr>
                <w:rFonts w:hint="eastAsia" w:ascii="宋体" w:hAnsi="宋体" w:cs="宋体"/>
                <w:kern w:val="0"/>
                <w:szCs w:val="21"/>
                <w:lang w:bidi="en-US"/>
              </w:rPr>
              <w:t>个方面,</w:t>
            </w:r>
            <w:r>
              <w:rPr>
                <w:rFonts w:hint="eastAsia" w:ascii="宋体" w:hAnsi="宋体" w:cs="宋体"/>
                <w:kern w:val="0"/>
                <w:szCs w:val="21"/>
                <w:lang w:val="en-US" w:eastAsia="zh-CN" w:bidi="en-US"/>
              </w:rPr>
              <w:t>软件工程</w:t>
            </w:r>
            <w:r>
              <w:rPr>
                <w:rFonts w:hint="eastAsia" w:ascii="宋体" w:hAnsi="宋体" w:cs="宋体"/>
                <w:kern w:val="0"/>
                <w:szCs w:val="21"/>
                <w:lang w:bidi="en-US"/>
              </w:rPr>
              <w:t>专业经过近几年的建设,取得了较好成绩,我们认为本专业已符合申报授予学士学位的条件，特向</w:t>
            </w:r>
            <w:r>
              <w:rPr>
                <w:rFonts w:hint="eastAsia" w:ascii="宋体" w:hAnsi="宋体" w:cs="宋体"/>
                <w:kern w:val="0"/>
                <w:szCs w:val="21"/>
                <w:lang w:val="en-US" w:eastAsia="zh-CN" w:bidi="en-US"/>
              </w:rPr>
              <w:t>学校、</w:t>
            </w:r>
            <w:r>
              <w:rPr>
                <w:rFonts w:hint="eastAsia" w:ascii="宋体" w:hAnsi="宋体" w:cs="宋体"/>
                <w:kern w:val="0"/>
                <w:szCs w:val="21"/>
                <w:lang w:bidi="en-US"/>
              </w:rPr>
              <w:t>安徽省学位办提出申请，恳请给予审核并予以批准。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620" w:type="dxa"/>
            <w:gridSpan w:val="2"/>
            <w:tcBorders>
              <w:bottom w:val="single" w:color="auto" w:sz="4" w:space="0"/>
            </w:tcBorders>
            <w:vAlign w:val="center"/>
          </w:tcPr>
          <w:p>
            <w:pPr>
              <w:jc w:val="center"/>
              <w:rPr>
                <w:rFonts w:ascii="宋体" w:hAnsi="宋体"/>
              </w:rPr>
            </w:pPr>
            <w:r>
              <w:rPr>
                <w:rFonts w:hint="eastAsia" w:ascii="宋体" w:hAnsi="宋体"/>
              </w:rPr>
              <w:t>其他需要说明的问题</w:t>
            </w:r>
          </w:p>
        </w:tc>
        <w:tc>
          <w:tcPr>
            <w:tcW w:w="7840" w:type="dxa"/>
            <w:gridSpan w:val="9"/>
            <w:tcBorders>
              <w:bottom w:val="single" w:color="auto" w:sz="4" w:space="0"/>
            </w:tcBorders>
            <w:vAlign w:val="center"/>
          </w:tcPr>
          <w:p>
            <w:pPr>
              <w:jc w:val="center"/>
              <w:rPr>
                <w:rFonts w:ascii="宋体" w:hAnsi="宋体" w:cs="宋体"/>
                <w:kern w:val="0"/>
                <w:szCs w:val="21"/>
                <w:lang w:bidi="en-US"/>
              </w:rPr>
            </w:pPr>
            <w:r>
              <w:rPr>
                <w:rFonts w:hint="eastAsia" w:ascii="宋体" w:hAnsi="宋体"/>
                <w:color w:val="000000"/>
                <w:lang w:val="en-US" w:eastAsia="zh-CN"/>
              </w:rPr>
              <w:t>专业实习、毕业设计（论文）严格按照文件制度执行，正在进行中，执行情况良好。</w:t>
            </w:r>
          </w:p>
        </w:tc>
      </w:tr>
    </w:tbl>
    <w:p>
      <w:pPr>
        <w:jc w:val="center"/>
        <w:rPr>
          <w:rFonts w:ascii="宋体" w:hAnsi="宋体"/>
        </w:rPr>
      </w:pPr>
    </w:p>
    <w:p>
      <w:pPr>
        <w:jc w:val="center"/>
        <w:rPr>
          <w:rFonts w:ascii="宋体" w:hAnsi="宋体"/>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7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jc w:val="center"/>
        </w:trPr>
        <w:tc>
          <w:tcPr>
            <w:tcW w:w="617" w:type="dxa"/>
            <w:vAlign w:val="center"/>
          </w:tcPr>
          <w:p>
            <w:pPr>
              <w:jc w:val="center"/>
              <w:rPr>
                <w:rFonts w:ascii="宋体" w:hAnsi="宋体"/>
              </w:rPr>
            </w:pPr>
            <w:r>
              <w:rPr>
                <w:rFonts w:hint="eastAsia" w:ascii="宋体" w:hAnsi="宋体"/>
              </w:rPr>
              <w:t>校学位评定或学术委员会意见</w:t>
            </w:r>
          </w:p>
        </w:tc>
        <w:tc>
          <w:tcPr>
            <w:tcW w:w="7843" w:type="dxa"/>
            <w:vAlign w:val="center"/>
          </w:tcPr>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ind w:firstLine="840" w:firstLineChars="400"/>
              <w:rPr>
                <w:rFonts w:ascii="宋体" w:hAnsi="宋体"/>
              </w:rPr>
            </w:pPr>
            <w:r>
              <w:rPr>
                <w:rFonts w:hint="eastAsia" w:ascii="宋体" w:hAnsi="宋体"/>
              </w:rPr>
              <w:t>校（院）学位评定或学术委员会主席（签章）</w:t>
            </w:r>
            <w:r>
              <w:rPr>
                <w:rFonts w:hint="eastAsia" w:ascii="宋体" w:hAnsi="宋体"/>
                <w:lang w:val="en-US" w:eastAsia="zh-CN"/>
              </w:rPr>
              <w:t xml:space="preserve">     </w:t>
            </w:r>
            <w:r>
              <w:rPr>
                <w:rFonts w:hint="eastAsia" w:ascii="宋体" w:hAnsi="宋体"/>
              </w:rPr>
              <w:t>年</w:t>
            </w:r>
            <w:r>
              <w:rPr>
                <w:rFonts w:hint="eastAsia" w:ascii="宋体" w:hAnsi="宋体"/>
                <w:lang w:val="en-US" w:eastAsia="zh-CN"/>
              </w:rPr>
              <w:t xml:space="preserve">    </w:t>
            </w:r>
            <w:r>
              <w:rPr>
                <w:rFonts w:hint="eastAsia" w:ascii="宋体" w:hAnsi="宋体"/>
              </w:rPr>
              <w:t>月</w:t>
            </w:r>
            <w:r>
              <w:rPr>
                <w:rFonts w:hint="eastAsia" w:ascii="宋体" w:hAnsi="宋体"/>
                <w:lang w:val="en-US" w:eastAsia="zh-CN"/>
              </w:rPr>
              <w:t xml:space="preserve">   </w:t>
            </w:r>
            <w:bookmarkStart w:id="0" w:name="_GoBack"/>
            <w:bookmarkEnd w:id="0"/>
            <w:r>
              <w:rPr>
                <w:rFonts w:hint="eastAsia" w:ascii="宋体" w:hAnsi="宋体"/>
              </w:rPr>
              <w:t>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617" w:type="dxa"/>
            <w:vAlign w:val="center"/>
          </w:tcPr>
          <w:p>
            <w:pPr>
              <w:jc w:val="center"/>
              <w:rPr>
                <w:rFonts w:ascii="宋体" w:hAnsi="宋体"/>
              </w:rPr>
            </w:pPr>
            <w:r>
              <w:rPr>
                <w:rFonts w:hint="eastAsia" w:ascii="宋体" w:hAnsi="宋体"/>
              </w:rPr>
              <w:t>专家评审委员会意见</w:t>
            </w:r>
          </w:p>
        </w:tc>
        <w:tc>
          <w:tcPr>
            <w:tcW w:w="7843" w:type="dxa"/>
            <w:vAlign w:val="center"/>
          </w:tcPr>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ind w:firstLine="5880" w:firstLineChars="2800"/>
              <w:rPr>
                <w:rFonts w:ascii="宋体" w:hAnsi="宋体"/>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jc w:val="center"/>
        </w:trPr>
        <w:tc>
          <w:tcPr>
            <w:tcW w:w="617" w:type="dxa"/>
            <w:vAlign w:val="center"/>
          </w:tcPr>
          <w:p>
            <w:pPr>
              <w:jc w:val="center"/>
              <w:rPr>
                <w:rFonts w:ascii="宋体" w:hAnsi="宋体"/>
              </w:rPr>
            </w:pPr>
            <w:r>
              <w:rPr>
                <w:rFonts w:hint="eastAsia" w:ascii="宋体" w:hAnsi="宋体"/>
              </w:rPr>
              <w:t>省学位委员会审批意见</w:t>
            </w:r>
          </w:p>
        </w:tc>
        <w:tc>
          <w:tcPr>
            <w:tcW w:w="7843" w:type="dxa"/>
            <w:vAlign w:val="center"/>
          </w:tcPr>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ind w:firstLine="5880" w:firstLineChars="2800"/>
              <w:rPr>
                <w:rFonts w:ascii="宋体" w:hAnsi="宋体"/>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617" w:type="dxa"/>
            <w:tcBorders>
              <w:bottom w:val="single" w:color="auto" w:sz="4" w:space="0"/>
            </w:tcBorders>
            <w:vAlign w:val="center"/>
          </w:tcPr>
          <w:p>
            <w:pPr>
              <w:jc w:val="center"/>
              <w:rPr>
                <w:rFonts w:ascii="宋体" w:hAnsi="宋体"/>
              </w:rPr>
            </w:pPr>
            <w:r>
              <w:rPr>
                <w:rFonts w:hint="eastAsia" w:ascii="宋体" w:hAnsi="宋体"/>
              </w:rPr>
              <w:t>备</w:t>
            </w:r>
          </w:p>
          <w:p>
            <w:pPr>
              <w:jc w:val="center"/>
              <w:rPr>
                <w:rFonts w:ascii="宋体" w:hAnsi="宋体"/>
              </w:rPr>
            </w:pPr>
          </w:p>
          <w:p>
            <w:pPr>
              <w:jc w:val="center"/>
              <w:rPr>
                <w:rFonts w:ascii="宋体" w:hAnsi="宋体"/>
              </w:rPr>
            </w:pPr>
            <w:r>
              <w:rPr>
                <w:rFonts w:hint="eastAsia" w:ascii="宋体" w:hAnsi="宋体"/>
              </w:rPr>
              <w:t>注</w:t>
            </w:r>
          </w:p>
        </w:tc>
        <w:tc>
          <w:tcPr>
            <w:tcW w:w="7843" w:type="dxa"/>
            <w:tcBorders>
              <w:bottom w:val="single" w:color="auto" w:sz="4" w:space="0"/>
            </w:tcBorders>
            <w:vAlign w:val="center"/>
          </w:tcPr>
          <w:p>
            <w:pPr>
              <w:jc w:val="center"/>
              <w:rPr>
                <w:rFonts w:ascii="宋体" w:hAnsi="宋体"/>
              </w:rPr>
            </w:pPr>
          </w:p>
        </w:tc>
      </w:tr>
    </w:tbl>
    <w:p>
      <w:pPr>
        <w:jc w:val="center"/>
        <w:rPr>
          <w:rFonts w:ascii="宋体" w:hAnsi="宋体"/>
        </w:rPr>
      </w:pPr>
    </w:p>
    <w:p>
      <w:pPr>
        <w:rPr>
          <w:rFonts w:ascii="仿宋_GB2312" w:hAnsi="仿宋_GB2312" w:eastAsia="仿宋_GB2312" w:cs="仿宋_GB2312"/>
          <w:sz w:val="28"/>
        </w:rPr>
      </w:pPr>
    </w:p>
    <w:sectPr>
      <w:pgSz w:w="11906" w:h="16838"/>
      <w:pgMar w:top="1383" w:right="1800" w:bottom="127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179DC"/>
    <w:rsid w:val="000030CE"/>
    <w:rsid w:val="00004A54"/>
    <w:rsid w:val="00006EAA"/>
    <w:rsid w:val="00027F2A"/>
    <w:rsid w:val="00030468"/>
    <w:rsid w:val="00036188"/>
    <w:rsid w:val="00036CFF"/>
    <w:rsid w:val="00040DEA"/>
    <w:rsid w:val="00045F64"/>
    <w:rsid w:val="0004682B"/>
    <w:rsid w:val="00051E8F"/>
    <w:rsid w:val="000614C6"/>
    <w:rsid w:val="00065BDC"/>
    <w:rsid w:val="00084F49"/>
    <w:rsid w:val="000860D5"/>
    <w:rsid w:val="00092A86"/>
    <w:rsid w:val="000B062B"/>
    <w:rsid w:val="000B49AE"/>
    <w:rsid w:val="000C124C"/>
    <w:rsid w:val="000C6319"/>
    <w:rsid w:val="000D24F0"/>
    <w:rsid w:val="000D2B2D"/>
    <w:rsid w:val="000D35A4"/>
    <w:rsid w:val="000D484B"/>
    <w:rsid w:val="000D5B20"/>
    <w:rsid w:val="000D6AD3"/>
    <w:rsid w:val="000E074D"/>
    <w:rsid w:val="000E0912"/>
    <w:rsid w:val="000E0B90"/>
    <w:rsid w:val="000E7284"/>
    <w:rsid w:val="000F6A04"/>
    <w:rsid w:val="00101CA5"/>
    <w:rsid w:val="00104395"/>
    <w:rsid w:val="001062E7"/>
    <w:rsid w:val="00107FFC"/>
    <w:rsid w:val="001164B9"/>
    <w:rsid w:val="00116F10"/>
    <w:rsid w:val="001175E5"/>
    <w:rsid w:val="001349D5"/>
    <w:rsid w:val="00134FA6"/>
    <w:rsid w:val="001363F2"/>
    <w:rsid w:val="00137AF1"/>
    <w:rsid w:val="00137CF8"/>
    <w:rsid w:val="0015574A"/>
    <w:rsid w:val="00155A01"/>
    <w:rsid w:val="001563F4"/>
    <w:rsid w:val="0016772C"/>
    <w:rsid w:val="00172F20"/>
    <w:rsid w:val="001904C3"/>
    <w:rsid w:val="0019538C"/>
    <w:rsid w:val="001974F6"/>
    <w:rsid w:val="00197EA2"/>
    <w:rsid w:val="001C06D0"/>
    <w:rsid w:val="001C28D2"/>
    <w:rsid w:val="001C6456"/>
    <w:rsid w:val="001C6F5F"/>
    <w:rsid w:val="001C6FF5"/>
    <w:rsid w:val="001D771E"/>
    <w:rsid w:val="001E5F90"/>
    <w:rsid w:val="00203CFB"/>
    <w:rsid w:val="002119A3"/>
    <w:rsid w:val="00213EEB"/>
    <w:rsid w:val="0022202A"/>
    <w:rsid w:val="00222657"/>
    <w:rsid w:val="00231BAF"/>
    <w:rsid w:val="0023232F"/>
    <w:rsid w:val="00240ED0"/>
    <w:rsid w:val="00277386"/>
    <w:rsid w:val="00280E62"/>
    <w:rsid w:val="00281AD7"/>
    <w:rsid w:val="00290823"/>
    <w:rsid w:val="002A02A4"/>
    <w:rsid w:val="002A5ECE"/>
    <w:rsid w:val="002B1E28"/>
    <w:rsid w:val="002B5E99"/>
    <w:rsid w:val="002B667F"/>
    <w:rsid w:val="002C0B7B"/>
    <w:rsid w:val="002C1D07"/>
    <w:rsid w:val="002D4AE7"/>
    <w:rsid w:val="002F022D"/>
    <w:rsid w:val="002F2BAC"/>
    <w:rsid w:val="002F3522"/>
    <w:rsid w:val="002F4EE0"/>
    <w:rsid w:val="00304207"/>
    <w:rsid w:val="00310746"/>
    <w:rsid w:val="00322F2B"/>
    <w:rsid w:val="00324537"/>
    <w:rsid w:val="003308DF"/>
    <w:rsid w:val="0033602F"/>
    <w:rsid w:val="0034101A"/>
    <w:rsid w:val="00342601"/>
    <w:rsid w:val="00350431"/>
    <w:rsid w:val="00362AD9"/>
    <w:rsid w:val="00364E85"/>
    <w:rsid w:val="00372D7F"/>
    <w:rsid w:val="00372E8F"/>
    <w:rsid w:val="00376881"/>
    <w:rsid w:val="0038344D"/>
    <w:rsid w:val="00383880"/>
    <w:rsid w:val="00385E7E"/>
    <w:rsid w:val="003962A1"/>
    <w:rsid w:val="003B18BF"/>
    <w:rsid w:val="003C35EB"/>
    <w:rsid w:val="003D2E8D"/>
    <w:rsid w:val="003E6CA1"/>
    <w:rsid w:val="003E7CDF"/>
    <w:rsid w:val="003E7FB2"/>
    <w:rsid w:val="003F0F64"/>
    <w:rsid w:val="00412853"/>
    <w:rsid w:val="00415271"/>
    <w:rsid w:val="004275B0"/>
    <w:rsid w:val="00440695"/>
    <w:rsid w:val="004435A4"/>
    <w:rsid w:val="00444997"/>
    <w:rsid w:val="00445FDA"/>
    <w:rsid w:val="004532C9"/>
    <w:rsid w:val="00454DC0"/>
    <w:rsid w:val="00466B9B"/>
    <w:rsid w:val="00481AC8"/>
    <w:rsid w:val="00486A21"/>
    <w:rsid w:val="004A3D86"/>
    <w:rsid w:val="004B04BB"/>
    <w:rsid w:val="004B797A"/>
    <w:rsid w:val="004C0380"/>
    <w:rsid w:val="004C3BB9"/>
    <w:rsid w:val="004C55C7"/>
    <w:rsid w:val="004D5160"/>
    <w:rsid w:val="004D7015"/>
    <w:rsid w:val="004D753E"/>
    <w:rsid w:val="004F28FE"/>
    <w:rsid w:val="004F525B"/>
    <w:rsid w:val="004F5FFF"/>
    <w:rsid w:val="004F6355"/>
    <w:rsid w:val="004F6739"/>
    <w:rsid w:val="00504166"/>
    <w:rsid w:val="00505537"/>
    <w:rsid w:val="00507719"/>
    <w:rsid w:val="00513199"/>
    <w:rsid w:val="00525F67"/>
    <w:rsid w:val="00534191"/>
    <w:rsid w:val="00534B60"/>
    <w:rsid w:val="00534EB8"/>
    <w:rsid w:val="005413F2"/>
    <w:rsid w:val="0054519B"/>
    <w:rsid w:val="00546E04"/>
    <w:rsid w:val="005535B5"/>
    <w:rsid w:val="00553883"/>
    <w:rsid w:val="00566837"/>
    <w:rsid w:val="00594381"/>
    <w:rsid w:val="00594BF3"/>
    <w:rsid w:val="005953D1"/>
    <w:rsid w:val="005962CD"/>
    <w:rsid w:val="00597009"/>
    <w:rsid w:val="005A0C4C"/>
    <w:rsid w:val="005B7615"/>
    <w:rsid w:val="005C4608"/>
    <w:rsid w:val="005E3907"/>
    <w:rsid w:val="005E74DF"/>
    <w:rsid w:val="005F5C4C"/>
    <w:rsid w:val="005F602B"/>
    <w:rsid w:val="005F6680"/>
    <w:rsid w:val="0060175B"/>
    <w:rsid w:val="006048CC"/>
    <w:rsid w:val="00607E30"/>
    <w:rsid w:val="00611842"/>
    <w:rsid w:val="00612CB9"/>
    <w:rsid w:val="006149AF"/>
    <w:rsid w:val="00615609"/>
    <w:rsid w:val="006156AB"/>
    <w:rsid w:val="00617007"/>
    <w:rsid w:val="006518E6"/>
    <w:rsid w:val="00651D49"/>
    <w:rsid w:val="00656F7E"/>
    <w:rsid w:val="00662531"/>
    <w:rsid w:val="00663275"/>
    <w:rsid w:val="006636BF"/>
    <w:rsid w:val="00672B7A"/>
    <w:rsid w:val="00672D53"/>
    <w:rsid w:val="0069079B"/>
    <w:rsid w:val="006974D3"/>
    <w:rsid w:val="006977B1"/>
    <w:rsid w:val="006A6B45"/>
    <w:rsid w:val="006B22DC"/>
    <w:rsid w:val="006C64DD"/>
    <w:rsid w:val="006E08BF"/>
    <w:rsid w:val="006F1F0F"/>
    <w:rsid w:val="006F2CC0"/>
    <w:rsid w:val="006F310C"/>
    <w:rsid w:val="00706352"/>
    <w:rsid w:val="00710E48"/>
    <w:rsid w:val="00712A0F"/>
    <w:rsid w:val="007146D1"/>
    <w:rsid w:val="00715754"/>
    <w:rsid w:val="00717141"/>
    <w:rsid w:val="00723583"/>
    <w:rsid w:val="00726F32"/>
    <w:rsid w:val="00734D9C"/>
    <w:rsid w:val="00736700"/>
    <w:rsid w:val="00741B34"/>
    <w:rsid w:val="00756195"/>
    <w:rsid w:val="00765E23"/>
    <w:rsid w:val="007665CE"/>
    <w:rsid w:val="00780371"/>
    <w:rsid w:val="00787409"/>
    <w:rsid w:val="00797F60"/>
    <w:rsid w:val="007A28E7"/>
    <w:rsid w:val="007A303E"/>
    <w:rsid w:val="007A76D9"/>
    <w:rsid w:val="007A7E94"/>
    <w:rsid w:val="007B1847"/>
    <w:rsid w:val="007B44E3"/>
    <w:rsid w:val="007B4D63"/>
    <w:rsid w:val="007C12DC"/>
    <w:rsid w:val="007D20DF"/>
    <w:rsid w:val="007D2475"/>
    <w:rsid w:val="007D681C"/>
    <w:rsid w:val="007E03B2"/>
    <w:rsid w:val="007E5367"/>
    <w:rsid w:val="007E54C9"/>
    <w:rsid w:val="007F1C1B"/>
    <w:rsid w:val="00807C01"/>
    <w:rsid w:val="00810991"/>
    <w:rsid w:val="00812B68"/>
    <w:rsid w:val="00814B10"/>
    <w:rsid w:val="008317B3"/>
    <w:rsid w:val="008369D8"/>
    <w:rsid w:val="00841516"/>
    <w:rsid w:val="00844676"/>
    <w:rsid w:val="0084654E"/>
    <w:rsid w:val="0087397F"/>
    <w:rsid w:val="00884369"/>
    <w:rsid w:val="00893EA3"/>
    <w:rsid w:val="0089527F"/>
    <w:rsid w:val="008B1F75"/>
    <w:rsid w:val="008B2B51"/>
    <w:rsid w:val="008B5BED"/>
    <w:rsid w:val="008B6967"/>
    <w:rsid w:val="008D0328"/>
    <w:rsid w:val="008D1F05"/>
    <w:rsid w:val="008D41B5"/>
    <w:rsid w:val="008E0A23"/>
    <w:rsid w:val="008E2623"/>
    <w:rsid w:val="008E4EDB"/>
    <w:rsid w:val="008E5FBE"/>
    <w:rsid w:val="00911655"/>
    <w:rsid w:val="00912C5F"/>
    <w:rsid w:val="0091504F"/>
    <w:rsid w:val="00963535"/>
    <w:rsid w:val="00965FE8"/>
    <w:rsid w:val="00986FC4"/>
    <w:rsid w:val="009A1AAF"/>
    <w:rsid w:val="009A425B"/>
    <w:rsid w:val="009A5891"/>
    <w:rsid w:val="009B18B6"/>
    <w:rsid w:val="009B3146"/>
    <w:rsid w:val="009D1043"/>
    <w:rsid w:val="009D1467"/>
    <w:rsid w:val="009D42BD"/>
    <w:rsid w:val="009E1C54"/>
    <w:rsid w:val="009E27BD"/>
    <w:rsid w:val="009E36F6"/>
    <w:rsid w:val="009E3DB8"/>
    <w:rsid w:val="009F3F4E"/>
    <w:rsid w:val="009F4568"/>
    <w:rsid w:val="00A16CC3"/>
    <w:rsid w:val="00A17CEB"/>
    <w:rsid w:val="00A17FB0"/>
    <w:rsid w:val="00A24CAD"/>
    <w:rsid w:val="00A546CD"/>
    <w:rsid w:val="00A72BDF"/>
    <w:rsid w:val="00A73020"/>
    <w:rsid w:val="00A81FE3"/>
    <w:rsid w:val="00A835C2"/>
    <w:rsid w:val="00A86B85"/>
    <w:rsid w:val="00A91242"/>
    <w:rsid w:val="00AB1CE9"/>
    <w:rsid w:val="00AC35FF"/>
    <w:rsid w:val="00AC6E25"/>
    <w:rsid w:val="00AC7623"/>
    <w:rsid w:val="00AD5B94"/>
    <w:rsid w:val="00AE0768"/>
    <w:rsid w:val="00AE43C0"/>
    <w:rsid w:val="00AE6918"/>
    <w:rsid w:val="00AF770D"/>
    <w:rsid w:val="00B06D02"/>
    <w:rsid w:val="00B10830"/>
    <w:rsid w:val="00B148B8"/>
    <w:rsid w:val="00B3297C"/>
    <w:rsid w:val="00B3329C"/>
    <w:rsid w:val="00B332CC"/>
    <w:rsid w:val="00B40790"/>
    <w:rsid w:val="00B42FCA"/>
    <w:rsid w:val="00B45362"/>
    <w:rsid w:val="00B508C0"/>
    <w:rsid w:val="00B52654"/>
    <w:rsid w:val="00B61085"/>
    <w:rsid w:val="00B6166F"/>
    <w:rsid w:val="00B6362C"/>
    <w:rsid w:val="00B67FBF"/>
    <w:rsid w:val="00B77009"/>
    <w:rsid w:val="00B91B08"/>
    <w:rsid w:val="00B930B6"/>
    <w:rsid w:val="00B9583D"/>
    <w:rsid w:val="00B958F4"/>
    <w:rsid w:val="00B97CAC"/>
    <w:rsid w:val="00BA1A92"/>
    <w:rsid w:val="00BA204F"/>
    <w:rsid w:val="00BA2655"/>
    <w:rsid w:val="00BA3F23"/>
    <w:rsid w:val="00BA6E58"/>
    <w:rsid w:val="00BB1B64"/>
    <w:rsid w:val="00BB268D"/>
    <w:rsid w:val="00BB6DCD"/>
    <w:rsid w:val="00BB7C56"/>
    <w:rsid w:val="00BD5894"/>
    <w:rsid w:val="00BE4F68"/>
    <w:rsid w:val="00BF1479"/>
    <w:rsid w:val="00C135E6"/>
    <w:rsid w:val="00C13C4B"/>
    <w:rsid w:val="00C142FB"/>
    <w:rsid w:val="00C15AAE"/>
    <w:rsid w:val="00C26217"/>
    <w:rsid w:val="00C34250"/>
    <w:rsid w:val="00C41DB4"/>
    <w:rsid w:val="00C42430"/>
    <w:rsid w:val="00C44159"/>
    <w:rsid w:val="00C5440C"/>
    <w:rsid w:val="00C548E3"/>
    <w:rsid w:val="00C55097"/>
    <w:rsid w:val="00C56C79"/>
    <w:rsid w:val="00C579D1"/>
    <w:rsid w:val="00C60F28"/>
    <w:rsid w:val="00C7102F"/>
    <w:rsid w:val="00C74079"/>
    <w:rsid w:val="00C76C97"/>
    <w:rsid w:val="00C90378"/>
    <w:rsid w:val="00C94968"/>
    <w:rsid w:val="00CA344B"/>
    <w:rsid w:val="00CA3493"/>
    <w:rsid w:val="00CA7002"/>
    <w:rsid w:val="00CC7F57"/>
    <w:rsid w:val="00CD0443"/>
    <w:rsid w:val="00CD1ADB"/>
    <w:rsid w:val="00CD4B20"/>
    <w:rsid w:val="00CD5734"/>
    <w:rsid w:val="00CD6BB6"/>
    <w:rsid w:val="00CD70A2"/>
    <w:rsid w:val="00CE635F"/>
    <w:rsid w:val="00CF6714"/>
    <w:rsid w:val="00CF751D"/>
    <w:rsid w:val="00D001D4"/>
    <w:rsid w:val="00D07E8B"/>
    <w:rsid w:val="00D20076"/>
    <w:rsid w:val="00D2142D"/>
    <w:rsid w:val="00D23F9C"/>
    <w:rsid w:val="00D258BD"/>
    <w:rsid w:val="00D30CE0"/>
    <w:rsid w:val="00D4436B"/>
    <w:rsid w:val="00D45878"/>
    <w:rsid w:val="00D47101"/>
    <w:rsid w:val="00D74A64"/>
    <w:rsid w:val="00D77924"/>
    <w:rsid w:val="00D96D73"/>
    <w:rsid w:val="00D9771C"/>
    <w:rsid w:val="00DA4FD8"/>
    <w:rsid w:val="00DB008A"/>
    <w:rsid w:val="00DB1F23"/>
    <w:rsid w:val="00DC4CDB"/>
    <w:rsid w:val="00DC5DF2"/>
    <w:rsid w:val="00DC6204"/>
    <w:rsid w:val="00DE2B10"/>
    <w:rsid w:val="00DE437E"/>
    <w:rsid w:val="00DF0D47"/>
    <w:rsid w:val="00DF67FF"/>
    <w:rsid w:val="00E064A5"/>
    <w:rsid w:val="00E11C8F"/>
    <w:rsid w:val="00E13CF6"/>
    <w:rsid w:val="00E21F60"/>
    <w:rsid w:val="00E23653"/>
    <w:rsid w:val="00E23B0A"/>
    <w:rsid w:val="00E24230"/>
    <w:rsid w:val="00E3162C"/>
    <w:rsid w:val="00E34F3B"/>
    <w:rsid w:val="00E35741"/>
    <w:rsid w:val="00E35964"/>
    <w:rsid w:val="00E37A67"/>
    <w:rsid w:val="00E54957"/>
    <w:rsid w:val="00E56445"/>
    <w:rsid w:val="00E56A2F"/>
    <w:rsid w:val="00E625BB"/>
    <w:rsid w:val="00E71651"/>
    <w:rsid w:val="00E76271"/>
    <w:rsid w:val="00E8714E"/>
    <w:rsid w:val="00E960A1"/>
    <w:rsid w:val="00EA5D7A"/>
    <w:rsid w:val="00EB4D31"/>
    <w:rsid w:val="00EC1C22"/>
    <w:rsid w:val="00EC4F31"/>
    <w:rsid w:val="00ED00CE"/>
    <w:rsid w:val="00ED4F0A"/>
    <w:rsid w:val="00EE754B"/>
    <w:rsid w:val="00EF28E3"/>
    <w:rsid w:val="00F21002"/>
    <w:rsid w:val="00F21803"/>
    <w:rsid w:val="00F22E3B"/>
    <w:rsid w:val="00F261B8"/>
    <w:rsid w:val="00F34627"/>
    <w:rsid w:val="00F37BBF"/>
    <w:rsid w:val="00F426E6"/>
    <w:rsid w:val="00F56C14"/>
    <w:rsid w:val="00F63F08"/>
    <w:rsid w:val="00F90517"/>
    <w:rsid w:val="00F9486C"/>
    <w:rsid w:val="00F95E1F"/>
    <w:rsid w:val="00FA1640"/>
    <w:rsid w:val="00FA1DD2"/>
    <w:rsid w:val="00FB1EA7"/>
    <w:rsid w:val="00FB7FA9"/>
    <w:rsid w:val="00FD0A9D"/>
    <w:rsid w:val="00FD1D5A"/>
    <w:rsid w:val="00FD5A47"/>
    <w:rsid w:val="00FE1929"/>
    <w:rsid w:val="00FE1DA7"/>
    <w:rsid w:val="00FF2FFE"/>
    <w:rsid w:val="00FF548D"/>
    <w:rsid w:val="00FF6BD0"/>
    <w:rsid w:val="07810331"/>
    <w:rsid w:val="12656E62"/>
    <w:rsid w:val="15FB7B5E"/>
    <w:rsid w:val="1EB570FF"/>
    <w:rsid w:val="1F1410BB"/>
    <w:rsid w:val="4E963568"/>
    <w:rsid w:val="51844C9E"/>
    <w:rsid w:val="588A17B2"/>
    <w:rsid w:val="5A7179DC"/>
    <w:rsid w:val="62E937F6"/>
    <w:rsid w:val="671635FB"/>
    <w:rsid w:val="77793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character" w:customStyle="1" w:styleId="10">
    <w:name w:val="批注文字 Char"/>
    <w:basedOn w:val="8"/>
    <w:link w:val="2"/>
    <w:qFormat/>
    <w:uiPriority w:val="0"/>
    <w:rPr>
      <w:kern w:val="2"/>
      <w:sz w:val="21"/>
    </w:rPr>
  </w:style>
  <w:style w:type="character" w:customStyle="1" w:styleId="11">
    <w:name w:val="批注框文本 Char"/>
    <w:basedOn w:val="8"/>
    <w:link w:val="3"/>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uiPriority w:val="0"/>
    <w:rPr>
      <w:kern w:val="2"/>
      <w:sz w:val="18"/>
      <w:szCs w:val="18"/>
    </w:rPr>
  </w:style>
  <w:style w:type="paragraph" w:customStyle="1" w:styleId="14">
    <w:name w:val="paragraph"/>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2546</Words>
  <Characters>14517</Characters>
  <Lines>120</Lines>
  <Paragraphs>34</Paragraphs>
  <TotalTime>9</TotalTime>
  <ScaleCrop>false</ScaleCrop>
  <LinksUpToDate>false</LinksUpToDate>
  <CharactersWithSpaces>17029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2019-11-26T01:55:00Z</dcterms:created>
  <dc:creator>Z</dc:creator>
  <cp:lastModifiedBy>兔姐~（Rabbit）</cp:lastModifiedBy>
  <cp:lastPrinted>2021-05-27T06:50:00Z</cp:lastPrinted>
  <dcterms:modified xsi:type="dcterms:W3CDTF">2021-06-07T05:56:48Z</dcterms:modified>
  <cp:revision>388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14834CB3B244488C86C9AF545B84A1BD</vt:lpwstr>
  </property>
</Properties>
</file>